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0D652425"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50766">
        <w:rPr>
          <w:rFonts w:ascii="Arial" w:hAnsi="Arial" w:cs="Arial"/>
          <w:b/>
          <w:bCs/>
          <w:sz w:val="28"/>
          <w:lang w:eastAsia="zh-CN"/>
        </w:rPr>
        <w:t>3</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355E63" w:rsidRPr="00FB24C7">
        <w:rPr>
          <w:rFonts w:ascii="Arial" w:hAnsi="Arial" w:cs="Arial" w:hint="eastAsia"/>
          <w:b/>
          <w:bCs/>
          <w:sz w:val="28"/>
          <w:lang w:eastAsia="zh-CN"/>
        </w:rPr>
        <w:t>20</w:t>
      </w:r>
      <w:r w:rsidR="00AD4CFE">
        <w:rPr>
          <w:rFonts w:ascii="Arial" w:hAnsi="Arial" w:cs="Arial"/>
          <w:b/>
          <w:bCs/>
          <w:sz w:val="28"/>
          <w:lang w:eastAsia="zh-CN"/>
        </w:rPr>
        <w:t>0837</w:t>
      </w:r>
      <w:r w:rsidR="00C8764D">
        <w:rPr>
          <w:rFonts w:ascii="Arial" w:hAnsi="Arial" w:cs="Arial"/>
          <w:b/>
          <w:bCs/>
          <w:sz w:val="28"/>
          <w:lang w:eastAsia="zh-CN"/>
        </w:rPr>
        <w:t>2</w:t>
      </w:r>
    </w:p>
    <w:p w14:paraId="4B25669D" w14:textId="100E2E84"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50766">
        <w:rPr>
          <w:rFonts w:ascii="Arial" w:hAnsi="Arial" w:cs="Arial"/>
          <w:b/>
          <w:bCs/>
          <w:sz w:val="28"/>
          <w:lang w:eastAsia="zh-CN"/>
        </w:rPr>
        <w:t>26 October – 13 November</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135BC3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E20933">
        <w:rPr>
          <w:b/>
          <w:kern w:val="2"/>
          <w:sz w:val="24"/>
          <w:lang w:eastAsia="zh-CN"/>
        </w:rPr>
        <w:t>2</w:t>
      </w:r>
      <w:r w:rsidR="002B0EE3">
        <w:rPr>
          <w:b/>
          <w:kern w:val="2"/>
          <w:sz w:val="24"/>
          <w:lang w:eastAsia="zh-CN"/>
        </w:rPr>
        <w:t>.</w:t>
      </w:r>
      <w:r w:rsidR="00C8764D">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E9E39C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C8764D">
        <w:rPr>
          <w:b/>
          <w:kern w:val="2"/>
          <w:sz w:val="24"/>
          <w:lang w:eastAsia="zh-CN"/>
        </w:rPr>
        <w:t>Coverage enhancement for initial access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553C0BA" w14:textId="6F76E88A" w:rsidR="00161F1D" w:rsidRDefault="006A43CF" w:rsidP="00D176D9">
      <w:pPr>
        <w:rPr>
          <w:lang w:eastAsia="zh-CN"/>
        </w:rPr>
      </w:pPr>
      <w:r>
        <w:rPr>
          <w:lang w:eastAsia="zh-CN"/>
        </w:rPr>
        <w:t xml:space="preserve">The following agreements were made in RAN1#102e relating to </w:t>
      </w:r>
      <w:r w:rsidR="00C8764D">
        <w:rPr>
          <w:lang w:eastAsia="zh-CN"/>
        </w:rPr>
        <w:t>coverage enhancement for initial access channels:</w:t>
      </w:r>
    </w:p>
    <w:p w14:paraId="3FC3F0F1" w14:textId="77777777" w:rsidR="00C8764D" w:rsidRDefault="00C8764D" w:rsidP="00D176D9">
      <w:pPr>
        <w:rPr>
          <w:lang w:eastAsia="zh-CN"/>
        </w:rPr>
      </w:pPr>
    </w:p>
    <w:p w14:paraId="7ED6AA37" w14:textId="0DF9F196" w:rsidR="00827817" w:rsidRDefault="00C8764D" w:rsidP="00C8764D">
      <w:r>
        <w:t>Th</w:t>
      </w:r>
      <w:r w:rsidR="000E199A">
        <w:t>is document considers the following aspects related to coverage enhancement for initial access:</w:t>
      </w:r>
    </w:p>
    <w:p w14:paraId="48B5C8C1" w14:textId="5775715A" w:rsidR="000E199A" w:rsidRDefault="000E199A" w:rsidP="000E199A">
      <w:pPr>
        <w:pStyle w:val="ListParagraph"/>
        <w:numPr>
          <w:ilvl w:val="0"/>
          <w:numId w:val="36"/>
        </w:numPr>
      </w:pPr>
      <w:r>
        <w:t>SSB enhancement</w:t>
      </w:r>
    </w:p>
    <w:p w14:paraId="2BAD3578" w14:textId="5EC80176" w:rsidR="000B107F" w:rsidRDefault="000B107F" w:rsidP="000E199A">
      <w:pPr>
        <w:pStyle w:val="ListParagraph"/>
        <w:numPr>
          <w:ilvl w:val="0"/>
          <w:numId w:val="36"/>
        </w:numPr>
      </w:pPr>
      <w:r>
        <w:t>PRACH cover</w:t>
      </w:r>
      <w:r w:rsidR="00EF7933">
        <w:t>age enhancement</w:t>
      </w:r>
    </w:p>
    <w:p w14:paraId="4F8A72F9" w14:textId="6D91398E" w:rsidR="000E199A" w:rsidRDefault="000E199A" w:rsidP="000E199A">
      <w:pPr>
        <w:pStyle w:val="ListParagraph"/>
        <w:numPr>
          <w:ilvl w:val="0"/>
          <w:numId w:val="36"/>
        </w:numPr>
      </w:pPr>
      <w:r>
        <w:t>2-step RACH</w:t>
      </w:r>
      <w:r w:rsidR="00EF7933">
        <w:t xml:space="preserve"> coverage enhancement</w:t>
      </w:r>
    </w:p>
    <w:p w14:paraId="1EFB1E95" w14:textId="77777777" w:rsidR="000E1985" w:rsidRPr="004D498F" w:rsidRDefault="000E1985" w:rsidP="000E1985"/>
    <w:p w14:paraId="57480077" w14:textId="29C8E593" w:rsidR="0018074C" w:rsidRPr="00342C6A" w:rsidRDefault="000E199A" w:rsidP="00F97DF9">
      <w:pPr>
        <w:pStyle w:val="Heading1"/>
        <w:spacing w:after="80"/>
        <w:jc w:val="left"/>
        <w:rPr>
          <w:color w:val="000000" w:themeColor="text1"/>
          <w:sz w:val="24"/>
          <w:lang w:eastAsia="zh-CN"/>
        </w:rPr>
      </w:pPr>
      <w:r w:rsidRPr="00342C6A">
        <w:rPr>
          <w:color w:val="000000" w:themeColor="text1"/>
          <w:sz w:val="24"/>
          <w:lang w:eastAsia="zh-CN"/>
        </w:rPr>
        <w:t>SSB enhancement</w:t>
      </w:r>
      <w:r w:rsidR="004D498F" w:rsidRPr="00342C6A">
        <w:rPr>
          <w:color w:val="000000" w:themeColor="text1"/>
          <w:sz w:val="24"/>
          <w:lang w:eastAsia="zh-CN"/>
        </w:rPr>
        <w:t xml:space="preserve"> </w:t>
      </w:r>
    </w:p>
    <w:p w14:paraId="046F9332" w14:textId="77777777" w:rsidR="000E199A" w:rsidRDefault="000E199A" w:rsidP="004D498F">
      <w:pPr>
        <w:rPr>
          <w:lang w:eastAsia="zh-CN"/>
        </w:rPr>
      </w:pPr>
      <w:bookmarkStart w:id="0" w:name="_Hlk47386123"/>
    </w:p>
    <w:p w14:paraId="2CC09749" w14:textId="138E606E" w:rsidR="00816970" w:rsidRDefault="00816970" w:rsidP="00816970">
      <w:r>
        <w:t xml:space="preserve">From the </w:t>
      </w:r>
      <w:r w:rsidR="00B35C75">
        <w:t>a</w:t>
      </w:r>
      <w:r>
        <w:t xml:space="preserve">greements of RAN1#102 meeting on CE of </w:t>
      </w:r>
      <w:r w:rsidR="0028396B">
        <w:t>“O</w:t>
      </w:r>
      <w:r>
        <w:t>ther channels than PUSCH and PUCCH</w:t>
      </w:r>
      <w:r w:rsidR="0028396B">
        <w:t>”</w:t>
      </w:r>
      <w:r>
        <w:t xml:space="preserve"> it can be concluded that the study item on coverage enhancements is mainly an exercise in balancing the different physical channels to avoid bottlenecks. While this makes good sense, it fails to address more general issues of the channel selection process. Based on the EVM, which mainly focus</w:t>
      </w:r>
      <w:r w:rsidR="003B7658">
        <w:t>es</w:t>
      </w:r>
      <w:r>
        <w:t xml:space="preserve"> on LLS, realizations of </w:t>
      </w:r>
      <w:r w:rsidR="007146B1">
        <w:t>the</w:t>
      </w:r>
      <w:r>
        <w:t xml:space="preserve"> propagation channel are generated, and the performance</w:t>
      </w:r>
      <w:r w:rsidR="00FF7A10">
        <w:t>s</w:t>
      </w:r>
      <w:r>
        <w:t xml:space="preserve"> of the various physical channels evaluated. However, the beam selection is not a part of the simulation. If the UE fails to select the optimal beam, avoidance of bottlenecks in the relative performance of the physical channels will not help. </w:t>
      </w:r>
    </w:p>
    <w:p w14:paraId="73789B3E" w14:textId="77777777" w:rsidR="00816970" w:rsidRDefault="00816970" w:rsidP="00816970">
      <w:r>
        <w:t xml:space="preserve">From various field test is has been shown that a UE tend to use different beams for the same position, e.g. if a UE is rotated clockwise or counterclockwise the selected beam-pairs may be different both from turn to turn and with respect to rotational direction. This may naturally be caused by UE algorithm implementation, but potentially also be an SSB polarization effect. </w:t>
      </w:r>
    </w:p>
    <w:p w14:paraId="74E8890D" w14:textId="77777777" w:rsidR="00816970" w:rsidRDefault="00816970" w:rsidP="00816970">
      <w:r>
        <w:t xml:space="preserve">Today, the polarization of the SSBs is to some extent up to implementation. The UE is not able to make any assumptions on the polarization properties of SSBs, more than that they do not change over time. </w:t>
      </w:r>
    </w:p>
    <w:p w14:paraId="17DEB322" w14:textId="77777777" w:rsidR="00816970" w:rsidRDefault="00816970" w:rsidP="00816970">
      <w:r>
        <w:t>Furthermore, the use of single polarized UE antennas may show advantages in the spherical coverage and/or hardware complexity, compared to dual polarized patch antennas and is therefore preferred in some cases. It may also be noted that a dual polarized patch antenna loses the orthogonality between the polarizations for steep angle of arrivals. Hence, the assumption of dual polarized UE antenna not valid under all conditions.</w:t>
      </w:r>
    </w:p>
    <w:p w14:paraId="558AD91F" w14:textId="77777777" w:rsidR="00EE7032" w:rsidRPr="00EE7032" w:rsidRDefault="00816970" w:rsidP="00EE7032">
      <w:r>
        <w:t>Even when the assumption of dual polarized UE antenna holds, each SSB transmission is single polarized and, hence, only sounds one dimension of a two-dimensional channel.</w:t>
      </w:r>
    </w:p>
    <w:p w14:paraId="1ED209E4" w14:textId="1B1BF28D" w:rsidR="00B175CD" w:rsidRPr="00342C6A" w:rsidRDefault="00B25686" w:rsidP="00307B22">
      <w:r w:rsidRPr="00342C6A">
        <w:t>Fig</w:t>
      </w:r>
      <w:r w:rsidR="754C3E64" w:rsidRPr="00342C6A">
        <w:t>ure</w:t>
      </w:r>
      <w:r w:rsidR="00174CE9" w:rsidRPr="00342C6A">
        <w:t xml:space="preserve"> 1, shows</w:t>
      </w:r>
      <w:r w:rsidR="0076342C" w:rsidRPr="00342C6A">
        <w:t xml:space="preserve"> </w:t>
      </w:r>
      <w:r w:rsidR="000C21B0" w:rsidRPr="00342C6A">
        <w:t xml:space="preserve">CDFs </w:t>
      </w:r>
      <w:r w:rsidR="003028D6" w:rsidRPr="00342C6A">
        <w:t>(</w:t>
      </w:r>
      <w:r w:rsidR="000670AE" w:rsidRPr="00342C6A">
        <w:t>from</w:t>
      </w:r>
      <w:r w:rsidR="000D30EA" w:rsidRPr="00342C6A">
        <w:t xml:space="preserve"> </w:t>
      </w:r>
      <w:r w:rsidRPr="00342C6A">
        <w:fldChar w:fldCharType="begin"/>
      </w:r>
      <w:r w:rsidRPr="00342C6A">
        <w:instrText xml:space="preserve"> REF _Ref53745917 \r \h </w:instrText>
      </w:r>
      <w:r w:rsidR="00342C6A">
        <w:instrText xml:space="preserve"> \* MERGEFORMAT </w:instrText>
      </w:r>
      <w:r w:rsidRPr="00342C6A">
        <w:fldChar w:fldCharType="separate"/>
      </w:r>
      <w:r w:rsidR="00F85EB1" w:rsidRPr="00342C6A">
        <w:t>[4]</w:t>
      </w:r>
      <w:r w:rsidRPr="00342C6A">
        <w:fldChar w:fldCharType="end"/>
      </w:r>
      <w:r w:rsidR="003028D6" w:rsidRPr="00342C6A">
        <w:t>)</w:t>
      </w:r>
      <w:r w:rsidR="007A393C" w:rsidRPr="00342C6A">
        <w:t xml:space="preserve"> </w:t>
      </w:r>
      <w:r w:rsidR="000C21B0" w:rsidRPr="00342C6A">
        <w:t xml:space="preserve">of the </w:t>
      </w:r>
      <w:r w:rsidR="00695415" w:rsidRPr="00342C6A">
        <w:t>gain</w:t>
      </w:r>
      <w:r w:rsidR="00B67001" w:rsidRPr="00342C6A">
        <w:t xml:space="preserve"> coming from being</w:t>
      </w:r>
      <w:r w:rsidR="000C21B0" w:rsidRPr="00342C6A">
        <w:t xml:space="preserve"> aware of the </w:t>
      </w:r>
      <w:r w:rsidR="00B67001" w:rsidRPr="00342C6A">
        <w:t>fact</w:t>
      </w:r>
      <w:r w:rsidR="000807B1" w:rsidRPr="00342C6A">
        <w:t xml:space="preserve"> </w:t>
      </w:r>
      <w:r w:rsidR="0041739E" w:rsidRPr="00342C6A">
        <w:t xml:space="preserve">that </w:t>
      </w:r>
      <w:r w:rsidR="003B0959" w:rsidRPr="00342C6A">
        <w:t xml:space="preserve">SSBs </w:t>
      </w:r>
      <w:r w:rsidR="00B67001" w:rsidRPr="00342C6A">
        <w:t>are replicated in</w:t>
      </w:r>
      <w:r w:rsidR="003B0959" w:rsidRPr="00342C6A">
        <w:t xml:space="preserve"> both polarizations</w:t>
      </w:r>
      <w:r w:rsidR="00F0550E" w:rsidRPr="00342C6A">
        <w:t>.</w:t>
      </w:r>
    </w:p>
    <w:p w14:paraId="2D2C5A2C" w14:textId="1A34BCE7" w:rsidR="00E94A88" w:rsidRPr="00342C6A" w:rsidRDefault="001C57C5" w:rsidP="00307B22">
      <w:r w:rsidRPr="00342C6A">
        <w:t>To validate the benefits of knowing the polarization relationships of beam sweeping, we conduct</w:t>
      </w:r>
      <w:r w:rsidR="00EB2F17" w:rsidRPr="00342C6A">
        <w:t>ed</w:t>
      </w:r>
      <w:r w:rsidRPr="00342C6A">
        <w:t xml:space="preserve"> simulations of performance gain using the InO CDL-A and UMi CDL-C channel profiles defined in </w:t>
      </w:r>
      <w:r w:rsidR="00FF547F" w:rsidRPr="00342C6A">
        <w:fldChar w:fldCharType="begin"/>
      </w:r>
      <w:r w:rsidR="00FF547F" w:rsidRPr="00342C6A">
        <w:instrText xml:space="preserve"> REF _Ref53747683 \r \h </w:instrText>
      </w:r>
      <w:r w:rsidR="00342C6A">
        <w:instrText xml:space="preserve"> \* MERGEFORMAT </w:instrText>
      </w:r>
      <w:r w:rsidR="00FF547F" w:rsidRPr="00342C6A">
        <w:fldChar w:fldCharType="separate"/>
      </w:r>
      <w:r w:rsidR="00F85EB1" w:rsidRPr="00342C6A">
        <w:t>[5]</w:t>
      </w:r>
      <w:r w:rsidR="00FF547F" w:rsidRPr="00342C6A">
        <w:fldChar w:fldCharType="end"/>
      </w:r>
      <w:r w:rsidRPr="00342C6A">
        <w:t xml:space="preserve">. </w:t>
      </w:r>
      <w:r w:rsidR="00220A3F" w:rsidRPr="00342C6A">
        <w:t>These</w:t>
      </w:r>
      <w:r w:rsidR="00EB2F17" w:rsidRPr="00342C6A">
        <w:t xml:space="preserve"> </w:t>
      </w:r>
      <w:r w:rsidR="00EA494A" w:rsidRPr="00342C6A">
        <w:t>are early results</w:t>
      </w:r>
      <w:r w:rsidR="00220A3F" w:rsidRPr="00342C6A">
        <w:t xml:space="preserve">, </w:t>
      </w:r>
      <w:r w:rsidR="000D0A03" w:rsidRPr="00342C6A">
        <w:t>not</w:t>
      </w:r>
      <w:r w:rsidR="00EB2F17" w:rsidRPr="00342C6A">
        <w:t xml:space="preserve"> according to the EVM, </w:t>
      </w:r>
      <w:r w:rsidR="00993ED5" w:rsidRPr="00342C6A">
        <w:t>but</w:t>
      </w:r>
      <w:r w:rsidR="007B4F52" w:rsidRPr="00342C6A">
        <w:t xml:space="preserve"> the gains </w:t>
      </w:r>
      <w:r w:rsidR="009574B6" w:rsidRPr="00342C6A">
        <w:t>are</w:t>
      </w:r>
      <w:r w:rsidR="003E0084" w:rsidRPr="00342C6A">
        <w:t xml:space="preserve"> </w:t>
      </w:r>
      <w:r w:rsidR="006B4C63" w:rsidRPr="00342C6A">
        <w:t xml:space="preserve">first of all significant and easily </w:t>
      </w:r>
      <w:r w:rsidR="006B4C63" w:rsidRPr="00342C6A">
        <w:lastRenderedPageBreak/>
        <w:t xml:space="preserve">facilitated </w:t>
      </w:r>
      <w:r w:rsidR="0002004E" w:rsidRPr="00342C6A">
        <w:t xml:space="preserve">and therefore </w:t>
      </w:r>
      <w:r w:rsidR="009412C3" w:rsidRPr="00342C6A">
        <w:t>we find them to be of interest</w:t>
      </w:r>
      <w:r w:rsidR="00731C86" w:rsidRPr="00342C6A">
        <w:t xml:space="preserve">. In </w:t>
      </w:r>
      <w:r w:rsidR="001D7C57" w:rsidRPr="00342C6A">
        <w:t>particular</w:t>
      </w:r>
      <w:r w:rsidR="008B4CA1" w:rsidRPr="00342C6A">
        <w:t xml:space="preserve"> the gains are </w:t>
      </w:r>
      <w:r w:rsidR="000245DA" w:rsidRPr="00342C6A">
        <w:t xml:space="preserve">of interest </w:t>
      </w:r>
      <w:r w:rsidR="002C4060" w:rsidRPr="00342C6A">
        <w:t>for</w:t>
      </w:r>
      <w:r w:rsidR="009412C3" w:rsidRPr="00342C6A">
        <w:t xml:space="preserve"> </w:t>
      </w:r>
      <w:r w:rsidR="00651AFD" w:rsidRPr="00342C6A">
        <w:t>CE</w:t>
      </w:r>
      <w:r w:rsidR="002C4060" w:rsidRPr="00342C6A">
        <w:t xml:space="preserve"> and RedCap</w:t>
      </w:r>
      <w:r w:rsidR="00E74E89" w:rsidRPr="00342C6A">
        <w:t xml:space="preserve"> </w:t>
      </w:r>
      <w:r w:rsidR="003E27C8" w:rsidRPr="00342C6A">
        <w:t>AI</w:t>
      </w:r>
      <w:r w:rsidR="00E94A88" w:rsidRPr="00342C6A">
        <w:t>s</w:t>
      </w:r>
      <w:r w:rsidR="00185280" w:rsidRPr="00342C6A">
        <w:t>.</w:t>
      </w:r>
    </w:p>
    <w:p w14:paraId="4958E56E" w14:textId="37E37C82" w:rsidR="001C57C5" w:rsidRPr="00342C6A" w:rsidRDefault="00185280" w:rsidP="00307B22">
      <w:r w:rsidRPr="00342C6A">
        <w:t xml:space="preserve"> </w:t>
      </w:r>
      <w:r w:rsidR="001C57C5" w:rsidRPr="00342C6A">
        <w:t>In the simulations, the gNB is equipped with an 8x16 array of dual-polarized antennas antenna elements. The polarization ports are assumed to be at 0/+90 degrees. At the UE side a 1x4 array of dual-polarized antenna elements is used, for which we consider seven dual-polarized beams. The radiation patterns of the beams have been extracted from electromagnetic simulations of a practical phone structure with form factor 150mm x 70mm at 28 GHz. The gNB signals the pre-configured number of beams which utilize either only vertical ports, horizontal ports or both. The UE measures the L1-RSRP of the beams using the pre-configured receive beams. Then the UE identifies the best receive beam from the measurements, while the a suitable transmit beam is chosen for the gNB and kept fixed during the simulations. Although the UE antennas are dual-polarized, we also simulate the case when the UE inactivates one of the polarizations, e.g., to save power.</w:t>
      </w:r>
    </w:p>
    <w:p w14:paraId="5D042CEC" w14:textId="77777777" w:rsidR="002D587D" w:rsidRPr="00342C6A" w:rsidRDefault="00307B22" w:rsidP="00307B22">
      <w:r w:rsidRPr="00342C6A">
        <w:t xml:space="preserve">From our evaluations, </w:t>
      </w:r>
      <w:r w:rsidR="000D30EA" w:rsidRPr="00342C6A">
        <w:t>the results</w:t>
      </w:r>
      <w:r w:rsidRPr="00342C6A">
        <w:t xml:space="preserve"> suggest that in </w:t>
      </w:r>
      <w:r w:rsidR="00B175CD" w:rsidRPr="00342C6A">
        <w:t>between 25% and 40% of the times</w:t>
      </w:r>
      <w:r w:rsidRPr="00342C6A">
        <w:t xml:space="preserve">, a UE identifies wrong beam as the strongest beam. </w:t>
      </w:r>
    </w:p>
    <w:p w14:paraId="163FACCF" w14:textId="0F7CC424" w:rsidR="002D587D" w:rsidRPr="00342C6A" w:rsidRDefault="002D587D" w:rsidP="00307B22">
      <w:pPr>
        <w:rPr>
          <w:b/>
          <w:bCs/>
        </w:rPr>
      </w:pPr>
      <w:r w:rsidRPr="00342C6A">
        <w:rPr>
          <w:b/>
          <w:bCs/>
        </w:rPr>
        <w:t>Obs</w:t>
      </w:r>
      <w:r w:rsidR="0079620B" w:rsidRPr="00342C6A">
        <w:rPr>
          <w:b/>
          <w:bCs/>
        </w:rPr>
        <w:t>e</w:t>
      </w:r>
      <w:r w:rsidRPr="00342C6A">
        <w:rPr>
          <w:b/>
          <w:bCs/>
        </w:rPr>
        <w:t>rvation</w:t>
      </w:r>
      <w:r w:rsidR="00A00FE9" w:rsidRPr="00342C6A">
        <w:rPr>
          <w:b/>
          <w:bCs/>
        </w:rPr>
        <w:t xml:space="preserve"> 1: Results suggest that in between 25% and 40% of the times, a UE identifies wrong beam as the strongest beam.</w:t>
      </w:r>
    </w:p>
    <w:p w14:paraId="2EE8ACAF" w14:textId="043C3EBE" w:rsidR="00307B22" w:rsidRPr="00342C6A" w:rsidRDefault="00307B22" w:rsidP="00307B22">
      <w:r w:rsidRPr="00342C6A">
        <w:t>As the two-dimensional channel is not sounded, the UE is not able to determine the potential capacity of the channel. The limitation in the SSB transmissions influence, initial access as well as continuous beam management.</w:t>
      </w:r>
    </w:p>
    <w:p w14:paraId="0A37CA9A" w14:textId="77777777" w:rsidR="00427642" w:rsidRPr="00342C6A" w:rsidRDefault="00427642" w:rsidP="00427642">
      <w:pPr>
        <w:spacing w:after="80"/>
      </w:pPr>
      <w:r w:rsidRPr="00342C6A">
        <w:t xml:space="preserve">The performance gain is defined as </w:t>
      </w:r>
    </w:p>
    <w:p w14:paraId="19642EF8" w14:textId="77777777" w:rsidR="00427642" w:rsidRPr="00342C6A" w:rsidRDefault="0001505E" w:rsidP="00427642">
      <w:pPr>
        <w:spacing w:after="80"/>
        <w:jc w:val="center"/>
        <w:rPr>
          <w:sz w:val="20"/>
        </w:rPr>
      </w:pPr>
      <m:oMath>
        <m:r>
          <m:rPr>
            <m:sty m:val="p"/>
          </m:rPr>
          <w:rPr>
            <w:rFonts w:ascii="Cambria Math" w:hAnsi="Cambria Math"/>
            <w:sz w:val="20"/>
          </w:rPr>
          <m:t>Δ</m:t>
        </m:r>
        <m:r>
          <w:rPr>
            <w:rFonts w:ascii="Cambria Math" w:hAnsi="Cambria Math"/>
            <w:sz w:val="20"/>
          </w:rPr>
          <m:t>Gain=Gai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dual</m:t>
            </m:r>
          </m:sup>
        </m:sSubSup>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r>
          <w:rPr>
            <w:rFonts w:ascii="Cambria Math" w:hAnsi="Cambria Math"/>
            <w:sz w:val="20"/>
          </w:rPr>
          <m:t xml:space="preserve"> )</m:t>
        </m:r>
      </m:oMath>
      <w:r w:rsidR="00427642" w:rsidRPr="00342C6A">
        <w:rPr>
          <w:sz w:val="20"/>
        </w:rPr>
        <w:t>,</w:t>
      </w:r>
    </w:p>
    <w:p w14:paraId="336A9C56" w14:textId="1E0B33FE" w:rsidR="00427642" w:rsidRPr="00427642" w:rsidRDefault="00427642" w:rsidP="00427642">
      <w:pPr>
        <w:spacing w:after="80"/>
      </w:pPr>
      <w:r w:rsidRPr="00342C6A">
        <w:t>where</w:t>
      </w:r>
      <w:r w:rsidRPr="00342C6A">
        <w:rPr>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m:t>
            </m:r>
          </m:sup>
        </m:sSubSup>
        <m:r>
          <w:rPr>
            <w:rFonts w:ascii="Cambria Math" w:hAnsi="Cambria Math"/>
            <w:sz w:val="20"/>
          </w:rPr>
          <m:t>=</m:t>
        </m:r>
        <m:r>
          <m:rPr>
            <m:sty m:val="p"/>
          </m:rPr>
          <w:rPr>
            <w:rFonts w:ascii="Cambria Math" w:hAnsi="Cambria Math"/>
            <w:sz w:val="20"/>
          </w:rPr>
          <m:t>argmax</m:t>
        </m:r>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(n)</m:t>
        </m:r>
      </m:oMath>
      <w:r w:rsidRPr="00342C6A">
        <w:rPr>
          <w:sz w:val="20"/>
        </w:rPr>
        <w:t xml:space="preserve"> </w:t>
      </w:r>
      <w:r w:rsidRPr="00342C6A">
        <w:t>is the optimal beam index when dual-polarized pilots are used,</w:t>
      </w:r>
      <w:r w:rsidRPr="00342C6A">
        <w:rPr>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m:t>
            </m:r>
          </m:sup>
        </m:sSubSup>
        <m:r>
          <w:rPr>
            <w:rFonts w:ascii="Cambria Math" w:hAnsi="Cambria Math"/>
            <w:sz w:val="20"/>
          </w:rPr>
          <m:t>=</m:t>
        </m:r>
        <m:r>
          <m:rPr>
            <m:sty m:val="p"/>
          </m:rPr>
          <w:rPr>
            <w:rFonts w:ascii="Cambria Math" w:hAnsi="Cambria Math"/>
            <w:sz w:val="20"/>
          </w:rPr>
          <m:t>argmax</m:t>
        </m:r>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single</m:t>
            </m:r>
          </m:sup>
        </m:sSup>
        <m:r>
          <w:rPr>
            <w:rFonts w:ascii="Cambria Math" w:hAnsi="Cambria Math"/>
            <w:sz w:val="20"/>
          </w:rPr>
          <m:t>(n)</m:t>
        </m:r>
      </m:oMath>
      <w:r w:rsidRPr="00342C6A">
        <w:rPr>
          <w:sz w:val="20"/>
        </w:rPr>
        <w:t xml:space="preserve"> </w:t>
      </w:r>
      <w:r w:rsidRPr="00342C6A">
        <w:t>is the optimal beam index when single-polarized pilots are used</w:t>
      </w:r>
      <w:r w:rsidRPr="00342C6A">
        <w:rPr>
          <w:sz w:val="20"/>
        </w:rPr>
        <w:t xml:space="preserve">, </w:t>
      </w:r>
      <m:oMath>
        <m:r>
          <w:rPr>
            <w:rFonts w:ascii="Cambria Math" w:hAnsi="Cambria Math"/>
            <w:sz w:val="20"/>
          </w:rPr>
          <m:t>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(n)</m:t>
        </m:r>
      </m:oMath>
      <w:r w:rsidRPr="00342C6A">
        <w:rPr>
          <w:sz w:val="20"/>
        </w:rPr>
        <w:t xml:space="preserve"> </w:t>
      </w:r>
      <w:r w:rsidRPr="00342C6A">
        <w:t xml:space="preserve">denotes the gain of the </w:t>
      </w:r>
      <m:oMath>
        <m:r>
          <w:rPr>
            <w:rFonts w:ascii="Cambria Math" w:hAnsi="Cambria Math"/>
          </w:rPr>
          <m:t>n</m:t>
        </m:r>
      </m:oMath>
      <w:r w:rsidRPr="00342C6A">
        <w:t xml:space="preserve">-th UE receive beam with dual-polarized pilots and dual-polarized UE antennas, and </w:t>
      </w:r>
      <m:oMath>
        <m:r>
          <w:rPr>
            <w:rFonts w:ascii="Cambria Math" w:hAnsi="Cambria Math"/>
            <w:sz w:val="20"/>
          </w:rPr>
          <m:t>Gai</m:t>
        </m:r>
        <m:sSup>
          <m:sSupPr>
            <m:ctrlPr>
              <w:rPr>
                <w:rFonts w:ascii="Cambria Math" w:hAnsi="Cambria Math"/>
                <w:i/>
                <w:sz w:val="20"/>
              </w:rPr>
            </m:ctrlPr>
          </m:sSupPr>
          <m:e>
            <m:r>
              <w:rPr>
                <w:rFonts w:ascii="Cambria Math" w:hAnsi="Cambria Math"/>
                <w:sz w:val="20"/>
              </w:rPr>
              <m:t>n</m:t>
            </m:r>
          </m:e>
          <m:sup>
            <m:r>
              <w:rPr>
                <w:rFonts w:ascii="Cambria Math" w:hAnsi="Cambria Math"/>
                <w:sz w:val="20"/>
              </w:rPr>
              <m:t>single</m:t>
            </m:r>
          </m:sup>
        </m:sSup>
        <m:r>
          <w:rPr>
            <w:rFonts w:ascii="Cambria Math" w:hAnsi="Cambria Math"/>
            <w:sz w:val="20"/>
          </w:rPr>
          <m:t>(n)</m:t>
        </m:r>
      </m:oMath>
      <w:r w:rsidRPr="00342C6A">
        <w:rPr>
          <w:sz w:val="20"/>
        </w:rPr>
        <w:t xml:space="preserve"> </w:t>
      </w:r>
      <w:r w:rsidRPr="00342C6A">
        <w:t xml:space="preserve">denotes the gain of the </w:t>
      </w:r>
      <m:oMath>
        <m:r>
          <w:rPr>
            <w:rFonts w:ascii="Cambria Math" w:hAnsi="Cambria Math"/>
          </w:rPr>
          <m:t>n</m:t>
        </m:r>
      </m:oMath>
      <w:r w:rsidRPr="00342C6A">
        <w:t>-th UE receive beam with single-polarized pilots and either single- or dual-polarized UE antennas. Intuitively, a terminal operating in 2x2 MIMO mode experiences a performance boost</w:t>
      </w:r>
      <w:r w:rsidRPr="00342C6A">
        <w:rPr>
          <w:sz w:val="20"/>
        </w:rPr>
        <w:t xml:space="preserve"> </w:t>
      </w:r>
      <m:oMath>
        <m:r>
          <m:rPr>
            <m:sty m:val="p"/>
          </m:rPr>
          <w:rPr>
            <w:rFonts w:ascii="Cambria Math" w:hAnsi="Cambria Math"/>
            <w:sz w:val="20"/>
          </w:rPr>
          <m:t>Δ</m:t>
        </m:r>
        <m:r>
          <w:rPr>
            <w:rFonts w:ascii="Cambria Math" w:hAnsi="Cambria Math"/>
            <w:sz w:val="20"/>
          </w:rPr>
          <m:t>Gain</m:t>
        </m:r>
      </m:oMath>
      <w:r w:rsidRPr="00342C6A">
        <w:rPr>
          <w:sz w:val="20"/>
        </w:rPr>
        <w:t xml:space="preserve"> </w:t>
      </w:r>
      <w:r w:rsidRPr="00342C6A">
        <w:t>if the active beam-pair is selected using dual-polarized pilots, compared to using single-polarized pilots. Note that in general the beams</w:t>
      </w:r>
      <w:r w:rsidRPr="00342C6A">
        <w:rPr>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oMath>
      <w:r w:rsidRPr="00342C6A">
        <w:rPr>
          <w:sz w:val="20"/>
        </w:rPr>
        <w:t xml:space="preserve"> </w:t>
      </w:r>
      <w:r w:rsidRPr="00342C6A">
        <w:t>and</w:t>
      </w:r>
      <w:r w:rsidRPr="00342C6A">
        <w:rPr>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dual</m:t>
            </m:r>
          </m:sup>
        </m:sSubSup>
      </m:oMath>
      <w:r w:rsidRPr="00342C6A">
        <w:rPr>
          <w:sz w:val="20"/>
        </w:rPr>
        <w:t xml:space="preserve"> </w:t>
      </w:r>
      <w:r w:rsidRPr="00342C6A">
        <w:t>are different. When this occurs, we say that beam</w:t>
      </w:r>
      <w:r w:rsidRPr="00342C6A">
        <w:rPr>
          <w:sz w:val="20"/>
        </w:rPr>
        <w:t xml:space="preserv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oMath>
      <w:r w:rsidRPr="00342C6A">
        <w:rPr>
          <w:sz w:val="20"/>
        </w:rPr>
        <w:t xml:space="preserve"> </w:t>
      </w:r>
      <w:r w:rsidRPr="00342C6A">
        <w:t xml:space="preserve">has been erroneously selected. As shown in </w:t>
      </w:r>
      <w:r w:rsidR="00F85EB1" w:rsidRPr="00342C6A">
        <w:fldChar w:fldCharType="begin"/>
      </w:r>
      <w:r w:rsidR="00F85EB1" w:rsidRPr="00342C6A">
        <w:instrText xml:space="preserve"> REF _Ref53754278 \h </w:instrText>
      </w:r>
      <w:r w:rsidR="00376795" w:rsidRPr="00342C6A">
        <w:instrText xml:space="preserve"> \* MERGEFORMAT </w:instrText>
      </w:r>
      <w:r w:rsidR="00F85EB1" w:rsidRPr="00342C6A">
        <w:fldChar w:fldCharType="separate"/>
      </w:r>
      <w:r w:rsidR="00F85EB1" w:rsidRPr="00342C6A">
        <w:t xml:space="preserve">Figure </w:t>
      </w:r>
      <w:r w:rsidR="00F85EB1" w:rsidRPr="00342C6A">
        <w:rPr>
          <w:noProof/>
        </w:rPr>
        <w:t>1</w:t>
      </w:r>
      <w:r w:rsidR="00F85EB1" w:rsidRPr="00342C6A">
        <w:fldChar w:fldCharType="end"/>
      </w:r>
      <w:r w:rsidRPr="00342C6A">
        <w:t>, between 25% and 40% of the times, depending on the propagation environment and the UE capability, a</w:t>
      </w:r>
      <w:r w:rsidRPr="00427642">
        <w:t xml:space="preserve"> UE will make an erroneous beam selection if it is not aware of polarization properties.</w:t>
      </w:r>
    </w:p>
    <w:p w14:paraId="3E99CA54" w14:textId="77777777" w:rsidR="00C72ACF" w:rsidRDefault="00C72ACF" w:rsidP="00307B22"/>
    <w:p w14:paraId="22D687D8" w14:textId="77777777" w:rsidR="00C72ACF" w:rsidRDefault="00C72ACF" w:rsidP="00307B22"/>
    <w:p w14:paraId="1991962B" w14:textId="013AA128" w:rsidR="007B1019" w:rsidRDefault="007B1019" w:rsidP="0050498A">
      <w:pPr>
        <w:jc w:val="center"/>
      </w:pPr>
      <w:r w:rsidRPr="00C64F05">
        <w:rPr>
          <w:noProof/>
        </w:rPr>
        <w:lastRenderedPageBreak/>
        <w:drawing>
          <wp:inline distT="0" distB="0" distL="0" distR="0" wp14:anchorId="4145197C" wp14:editId="7D13BB67">
            <wp:extent cx="4817745" cy="2860552"/>
            <wp:effectExtent l="0" t="0" r="190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0212" cy="2867954"/>
                    </a:xfrm>
                    <a:prstGeom prst="rect">
                      <a:avLst/>
                    </a:prstGeom>
                    <a:noFill/>
                    <a:ln>
                      <a:noFill/>
                    </a:ln>
                  </pic:spPr>
                </pic:pic>
              </a:graphicData>
            </a:graphic>
          </wp:inline>
        </w:drawing>
      </w:r>
    </w:p>
    <w:p w14:paraId="1D73D416" w14:textId="21DC67EF" w:rsidR="00F85EB1" w:rsidRDefault="00F85EB1" w:rsidP="00F85EB1">
      <w:pPr>
        <w:pStyle w:val="Caption"/>
      </w:pPr>
      <w:bookmarkStart w:id="1" w:name="_Ref53754278"/>
      <w:r>
        <w:t xml:space="preserve">Figure </w:t>
      </w:r>
      <w:r w:rsidRPr="3D5BBA99">
        <w:fldChar w:fldCharType="begin"/>
      </w:r>
      <w:r>
        <w:instrText xml:space="preserve"> SEQ Figure \* ARABIC </w:instrText>
      </w:r>
      <w:r w:rsidRPr="3D5BBA99">
        <w:fldChar w:fldCharType="separate"/>
      </w:r>
      <w:r w:rsidRPr="3D5BBA99">
        <w:rPr>
          <w:noProof/>
        </w:rPr>
        <w:t>1</w:t>
      </w:r>
      <w:r w:rsidRPr="3D5BBA99">
        <w:rPr>
          <w:noProof/>
        </w:rPr>
        <w:fldChar w:fldCharType="end"/>
      </w:r>
      <w:r>
        <w:t xml:space="preserve"> </w:t>
      </w:r>
      <w:bookmarkEnd w:id="1"/>
    </w:p>
    <w:p w14:paraId="2F358FDD" w14:textId="27A0E463" w:rsidR="00307B22" w:rsidRDefault="00307B22" w:rsidP="00307B22">
      <w:r>
        <w:t xml:space="preserve">From the arguments above, we strongly suggest that </w:t>
      </w:r>
      <w:r w:rsidR="00BA6A4A">
        <w:t xml:space="preserve">polarization properties of </w:t>
      </w:r>
      <w:r>
        <w:t xml:space="preserve">SSB </w:t>
      </w:r>
      <w:r w:rsidR="00131A77">
        <w:t>shall</w:t>
      </w:r>
      <w:r w:rsidR="004C0871">
        <w:t xml:space="preserve"> be evaluated further in this </w:t>
      </w:r>
      <w:r w:rsidR="000D4DBF">
        <w:t>AI</w:t>
      </w:r>
      <w:r w:rsidR="00A873BE">
        <w:t>.</w:t>
      </w:r>
    </w:p>
    <w:p w14:paraId="4CEF14CF" w14:textId="49FB810A" w:rsidR="00BA6A4A" w:rsidRPr="0070495E" w:rsidRDefault="00BA6A4A" w:rsidP="00307B22">
      <w:pPr>
        <w:rPr>
          <w:b/>
          <w:bCs/>
        </w:rPr>
      </w:pPr>
      <w:r w:rsidRPr="00342C6A">
        <w:rPr>
          <w:b/>
          <w:bCs/>
        </w:rPr>
        <w:t>Proposal</w:t>
      </w:r>
      <w:r w:rsidR="00342C6A" w:rsidRPr="00342C6A">
        <w:rPr>
          <w:b/>
          <w:bCs/>
        </w:rPr>
        <w:t xml:space="preserve"> 1</w:t>
      </w:r>
      <w:r w:rsidRPr="00342C6A">
        <w:rPr>
          <w:b/>
          <w:bCs/>
        </w:rPr>
        <w:t xml:space="preserve">: </w:t>
      </w:r>
      <w:r w:rsidR="00131A77" w:rsidRPr="00342C6A">
        <w:rPr>
          <w:b/>
          <w:bCs/>
        </w:rPr>
        <w:t>Evaluate</w:t>
      </w:r>
      <w:r w:rsidR="00131A77" w:rsidRPr="0070495E">
        <w:rPr>
          <w:b/>
          <w:bCs/>
        </w:rPr>
        <w:t xml:space="preserve"> </w:t>
      </w:r>
      <w:r w:rsidR="00FC26F6" w:rsidRPr="0070495E">
        <w:rPr>
          <w:b/>
          <w:bCs/>
        </w:rPr>
        <w:t>enhanced SSB</w:t>
      </w:r>
      <w:r w:rsidR="00264722" w:rsidRPr="0070495E">
        <w:rPr>
          <w:b/>
          <w:bCs/>
        </w:rPr>
        <w:t xml:space="preserve">s, where polarization properties are </w:t>
      </w:r>
      <w:r w:rsidR="007235EF" w:rsidRPr="0070495E">
        <w:rPr>
          <w:b/>
          <w:bCs/>
        </w:rPr>
        <w:t>included.</w:t>
      </w:r>
    </w:p>
    <w:p w14:paraId="3A8ED370" w14:textId="37B5F432" w:rsidR="005A03B7" w:rsidRDefault="009A0D9F" w:rsidP="00816970">
      <w:r>
        <w:t>Various</w:t>
      </w:r>
      <w:r w:rsidR="00EB2F00" w:rsidRPr="00987D40">
        <w:t xml:space="preserve"> solutions </w:t>
      </w:r>
      <w:r w:rsidR="00987D40">
        <w:t xml:space="preserve">can be </w:t>
      </w:r>
      <w:r>
        <w:t>considered to</w:t>
      </w:r>
      <w:r w:rsidR="00307607">
        <w:t xml:space="preserve"> enhance SSB transmissions without </w:t>
      </w:r>
      <w:r w:rsidR="00C75A0F">
        <w:t xml:space="preserve">significant impact on the </w:t>
      </w:r>
      <w:r w:rsidR="00884DAE">
        <w:t xml:space="preserve">SSB burst </w:t>
      </w:r>
      <w:r w:rsidR="00395B6C">
        <w:t>duration.</w:t>
      </w:r>
    </w:p>
    <w:p w14:paraId="1E38AEDD" w14:textId="34A15CD5" w:rsidR="00827817" w:rsidRDefault="00827817" w:rsidP="004D498F">
      <w:pPr>
        <w:rPr>
          <w:lang w:eastAsia="zh-CN"/>
        </w:rPr>
      </w:pPr>
    </w:p>
    <w:p w14:paraId="75736D7B" w14:textId="07DC1DF9" w:rsidR="007C1E13" w:rsidRPr="000900D7" w:rsidRDefault="000E1985" w:rsidP="00827817">
      <w:pPr>
        <w:pStyle w:val="Heading1"/>
        <w:spacing w:after="80"/>
        <w:jc w:val="left"/>
        <w:rPr>
          <w:color w:val="000000" w:themeColor="text1"/>
          <w:sz w:val="24"/>
          <w:lang w:eastAsia="zh-CN"/>
        </w:rPr>
      </w:pPr>
      <w:r>
        <w:rPr>
          <w:color w:val="000000" w:themeColor="text1"/>
          <w:sz w:val="24"/>
          <w:lang w:eastAsia="zh-CN"/>
        </w:rPr>
        <w:t>RACH</w:t>
      </w:r>
      <w:r w:rsidR="00831358">
        <w:rPr>
          <w:color w:val="000000" w:themeColor="text1"/>
          <w:sz w:val="24"/>
          <w:lang w:eastAsia="zh-CN"/>
        </w:rPr>
        <w:t xml:space="preserve"> </w:t>
      </w:r>
      <w:r w:rsidR="00E0208B">
        <w:rPr>
          <w:color w:val="000000" w:themeColor="text1"/>
          <w:sz w:val="24"/>
          <w:lang w:eastAsia="zh-CN"/>
        </w:rPr>
        <w:t>procedure</w:t>
      </w:r>
    </w:p>
    <w:p w14:paraId="62C518AD" w14:textId="2321B231" w:rsidR="007C1E13" w:rsidRDefault="007C1E13" w:rsidP="00827817">
      <w:pPr>
        <w:rPr>
          <w:lang w:eastAsia="zh-CN"/>
        </w:rPr>
      </w:pPr>
      <w:r>
        <w:rPr>
          <w:lang w:eastAsia="zh-CN"/>
        </w:rPr>
        <w:t xml:space="preserve">The following agreements were made in RAN1#102e relating to </w:t>
      </w:r>
      <w:r w:rsidR="001B7BF7">
        <w:rPr>
          <w:lang w:eastAsia="zh-CN"/>
        </w:rPr>
        <w:t>the PRACH procedure:</w:t>
      </w:r>
    </w:p>
    <w:p w14:paraId="607846C4" w14:textId="77777777" w:rsidR="001B7BF7" w:rsidRPr="005F3070" w:rsidRDefault="001B7BF7" w:rsidP="001B7BF7">
      <w:pPr>
        <w:rPr>
          <w:highlight w:val="green"/>
        </w:rPr>
      </w:pPr>
      <w:r w:rsidRPr="005F3070">
        <w:rPr>
          <w:highlight w:val="green"/>
        </w:rPr>
        <w:t>Agreements:</w:t>
      </w:r>
    </w:p>
    <w:p w14:paraId="013FAB64" w14:textId="77777777" w:rsidR="001B7BF7" w:rsidRPr="005F3070" w:rsidRDefault="001B7BF7" w:rsidP="001B7BF7">
      <w:pPr>
        <w:numPr>
          <w:ilvl w:val="0"/>
          <w:numId w:val="38"/>
        </w:numPr>
        <w:autoSpaceDE/>
        <w:autoSpaceDN/>
        <w:adjustRightInd/>
        <w:snapToGrid/>
        <w:spacing w:after="0"/>
        <w:jc w:val="left"/>
      </w:pPr>
      <w:r w:rsidRPr="005F3070">
        <w:t>Study Msg3 PUSCH enhancement in NR coverage enhancement SI</w:t>
      </w:r>
    </w:p>
    <w:p w14:paraId="029EDB2C" w14:textId="77777777" w:rsidR="001B7BF7" w:rsidRPr="005F3070" w:rsidRDefault="001B7BF7" w:rsidP="001B7BF7">
      <w:pPr>
        <w:numPr>
          <w:ilvl w:val="1"/>
          <w:numId w:val="38"/>
        </w:numPr>
        <w:autoSpaceDE/>
        <w:autoSpaceDN/>
        <w:adjustRightInd/>
        <w:snapToGrid/>
        <w:spacing w:after="0"/>
        <w:jc w:val="left"/>
      </w:pPr>
      <w:r w:rsidRPr="005F3070">
        <w:t>Study at least Msg3 PUSCH repetition</w:t>
      </w:r>
    </w:p>
    <w:p w14:paraId="234AD12C" w14:textId="77777777" w:rsidR="001B7BF7" w:rsidRPr="005F3070" w:rsidRDefault="001B7BF7" w:rsidP="001B7BF7">
      <w:pPr>
        <w:numPr>
          <w:ilvl w:val="2"/>
          <w:numId w:val="38"/>
        </w:numPr>
        <w:autoSpaceDE/>
        <w:autoSpaceDN/>
        <w:adjustRightInd/>
        <w:snapToGrid/>
        <w:spacing w:after="0"/>
        <w:jc w:val="left"/>
      </w:pPr>
      <w:r w:rsidRPr="005F3070">
        <w:t>FFS the aspects to be enhanced, e.g., signaling indication, repetition pattern, interplay between Msg1 and Msg3, DM-RS enhancements related to repetition etc.</w:t>
      </w:r>
    </w:p>
    <w:p w14:paraId="08474E14" w14:textId="77777777" w:rsidR="001B7BF7" w:rsidRPr="005F3070" w:rsidRDefault="001B7BF7" w:rsidP="001B7BF7">
      <w:pPr>
        <w:numPr>
          <w:ilvl w:val="1"/>
          <w:numId w:val="38"/>
        </w:numPr>
        <w:autoSpaceDE/>
        <w:autoSpaceDN/>
        <w:adjustRightInd/>
        <w:snapToGrid/>
        <w:spacing w:after="0"/>
        <w:jc w:val="left"/>
      </w:pPr>
      <w:r w:rsidRPr="005F3070">
        <w:t>FFS multiple-antenna techniques.</w:t>
      </w:r>
    </w:p>
    <w:p w14:paraId="328B0C3A" w14:textId="77777777" w:rsidR="001B7BF7" w:rsidRDefault="001B7BF7" w:rsidP="001B7BF7">
      <w:pPr>
        <w:rPr>
          <w:highlight w:val="green"/>
        </w:rPr>
      </w:pPr>
    </w:p>
    <w:p w14:paraId="1B60DCAF" w14:textId="77777777" w:rsidR="001B7BF7" w:rsidRPr="005F3070" w:rsidRDefault="001B7BF7" w:rsidP="001B7BF7">
      <w:pPr>
        <w:rPr>
          <w:highlight w:val="green"/>
        </w:rPr>
      </w:pPr>
      <w:r w:rsidRPr="005F3070">
        <w:rPr>
          <w:highlight w:val="green"/>
        </w:rPr>
        <w:t>Agreements:</w:t>
      </w:r>
    </w:p>
    <w:p w14:paraId="6DFEEBF8" w14:textId="77777777" w:rsidR="001B7BF7" w:rsidRPr="005F3070" w:rsidRDefault="001B7BF7" w:rsidP="001B7BF7">
      <w:pPr>
        <w:numPr>
          <w:ilvl w:val="0"/>
          <w:numId w:val="38"/>
        </w:numPr>
        <w:autoSpaceDE/>
        <w:autoSpaceDN/>
        <w:adjustRightInd/>
        <w:snapToGrid/>
        <w:spacing w:after="0"/>
        <w:jc w:val="left"/>
      </w:pPr>
      <w:r w:rsidRPr="005F3070">
        <w:t>Study whether or how to enhance MsgA PUSCH in NR coverage enhancement SI </w:t>
      </w:r>
    </w:p>
    <w:p w14:paraId="67AF68BD" w14:textId="77777777" w:rsidR="001B7BF7" w:rsidRDefault="001B7BF7" w:rsidP="001B7BF7"/>
    <w:p w14:paraId="4F520296" w14:textId="77777777" w:rsidR="001B7BF7" w:rsidRPr="005F3070" w:rsidRDefault="001B7BF7" w:rsidP="001B7BF7">
      <w:pPr>
        <w:rPr>
          <w:highlight w:val="green"/>
        </w:rPr>
      </w:pPr>
      <w:r w:rsidRPr="005F3070">
        <w:rPr>
          <w:highlight w:val="green"/>
        </w:rPr>
        <w:t>Agreements:</w:t>
      </w:r>
    </w:p>
    <w:p w14:paraId="183A0BDD" w14:textId="77777777" w:rsidR="001B7BF7" w:rsidRDefault="001B7BF7" w:rsidP="001B7BF7">
      <w:r w:rsidRPr="005F3070">
        <w:t>If PRACH enhancement is needed, study it in NR coverage enhancement SI, e.g. multiple PRACH transmissions.</w:t>
      </w:r>
    </w:p>
    <w:p w14:paraId="5EA9330E" w14:textId="77777777" w:rsidR="000900D7" w:rsidRDefault="000900D7" w:rsidP="001B7BF7"/>
    <w:p w14:paraId="740FB37D" w14:textId="77777777" w:rsidR="000900D7" w:rsidRPr="005F3070" w:rsidRDefault="000900D7" w:rsidP="001B7BF7"/>
    <w:p w14:paraId="308103B7" w14:textId="701D424D" w:rsidR="001B7BF7" w:rsidRDefault="762720AA" w:rsidP="00E0208B">
      <w:pPr>
        <w:pStyle w:val="Heading2"/>
        <w:rPr>
          <w:lang w:eastAsia="zh-CN"/>
        </w:rPr>
      </w:pPr>
      <w:bookmarkStart w:id="2" w:name="_Ref53751034"/>
      <w:r w:rsidRPr="5A44E2EA">
        <w:rPr>
          <w:lang w:eastAsia="zh-CN"/>
        </w:rPr>
        <w:t>PRACH Enhancement</w:t>
      </w:r>
      <w:bookmarkEnd w:id="2"/>
    </w:p>
    <w:p w14:paraId="47A8E400" w14:textId="226EBB18" w:rsidR="007C1E13" w:rsidRDefault="221B2B85" w:rsidP="5A44E2EA">
      <w:r w:rsidRPr="5A44E2EA">
        <w:rPr>
          <w:rFonts w:eastAsia="Times New Roman"/>
        </w:rPr>
        <w:t xml:space="preserve">PRACH preamble or Msg1 transmission from a UE in </w:t>
      </w:r>
      <w:r w:rsidR="00ED5344">
        <w:rPr>
          <w:rFonts w:eastAsia="Times New Roman"/>
        </w:rPr>
        <w:t xml:space="preserve">the </w:t>
      </w:r>
      <w:r w:rsidRPr="5A44E2EA">
        <w:rPr>
          <w:rFonts w:eastAsia="Times New Roman"/>
        </w:rPr>
        <w:t xml:space="preserve">extended coverage (CE) region may not be able to reach the gNB. Keep trying of preamble transmission in the next RACH period may not guarantee the </w:t>
      </w:r>
      <w:r w:rsidRPr="5A44E2EA">
        <w:rPr>
          <w:rFonts w:eastAsia="Times New Roman"/>
        </w:rPr>
        <w:lastRenderedPageBreak/>
        <w:t xml:space="preserve">reception of </w:t>
      </w:r>
      <w:r w:rsidR="00251F8A">
        <w:rPr>
          <w:rFonts w:eastAsia="Times New Roman"/>
        </w:rPr>
        <w:t xml:space="preserve">the </w:t>
      </w:r>
      <w:r w:rsidRPr="5A44E2EA">
        <w:rPr>
          <w:rFonts w:eastAsia="Times New Roman"/>
        </w:rPr>
        <w:t>preamble at the gNB. Furthermore, it will also increase the delay of the overall PRACH procedure.</w:t>
      </w:r>
    </w:p>
    <w:p w14:paraId="7222B8F0" w14:textId="20A80DBD" w:rsidR="007C1E13" w:rsidRDefault="221B2B85" w:rsidP="5A44E2EA">
      <w:pPr>
        <w:rPr>
          <w:rFonts w:eastAsia="Times New Roman"/>
        </w:rPr>
      </w:pPr>
      <w:r w:rsidRPr="5A44E2EA">
        <w:rPr>
          <w:rFonts w:eastAsia="Times New Roman"/>
        </w:rPr>
        <w:t xml:space="preserve">In </w:t>
      </w:r>
      <w:r w:rsidR="00835EC6">
        <w:rPr>
          <w:rFonts w:eastAsia="Times New Roman"/>
        </w:rPr>
        <w:t xml:space="preserve">the </w:t>
      </w:r>
      <w:r w:rsidRPr="5A44E2EA">
        <w:rPr>
          <w:rFonts w:eastAsia="Times New Roman"/>
        </w:rPr>
        <w:t>RAN1#102e meeting</w:t>
      </w:r>
      <w:r w:rsidR="7BB247D4" w:rsidRPr="5A44E2EA">
        <w:rPr>
          <w:rFonts w:eastAsia="Times New Roman"/>
        </w:rPr>
        <w:t xml:space="preserve"> and noted in </w:t>
      </w:r>
      <w:r w:rsidR="00835EC6">
        <w:rPr>
          <w:rFonts w:eastAsia="Times New Roman"/>
        </w:rPr>
        <w:t xml:space="preserve">the </w:t>
      </w:r>
      <w:r w:rsidR="7BB247D4" w:rsidRPr="5A44E2EA">
        <w:rPr>
          <w:rFonts w:eastAsia="Times New Roman"/>
        </w:rPr>
        <w:t>FL summary</w:t>
      </w:r>
      <w:r w:rsidRPr="5A44E2EA">
        <w:rPr>
          <w:rFonts w:eastAsia="Times New Roman"/>
        </w:rPr>
        <w:t xml:space="preserve">, the possibility of a UE </w:t>
      </w:r>
      <w:r w:rsidR="00835EC6" w:rsidRPr="5A44E2EA">
        <w:rPr>
          <w:rFonts w:eastAsia="Times New Roman"/>
        </w:rPr>
        <w:t>perform</w:t>
      </w:r>
      <w:r w:rsidR="00835EC6">
        <w:rPr>
          <w:rFonts w:eastAsia="Times New Roman"/>
        </w:rPr>
        <w:t>ing</w:t>
      </w:r>
      <w:r w:rsidR="00835EC6" w:rsidRPr="5A44E2EA">
        <w:rPr>
          <w:rFonts w:eastAsia="Times New Roman"/>
        </w:rPr>
        <w:t xml:space="preserve"> </w:t>
      </w:r>
      <w:r w:rsidRPr="5A44E2EA">
        <w:rPr>
          <w:rFonts w:eastAsia="Times New Roman"/>
        </w:rPr>
        <w:t>multiple PRACH transmission</w:t>
      </w:r>
      <w:r w:rsidR="00835EC6">
        <w:rPr>
          <w:rFonts w:eastAsia="Times New Roman"/>
        </w:rPr>
        <w:t>s was discussed</w:t>
      </w:r>
      <w:r w:rsidRPr="5A44E2EA">
        <w:rPr>
          <w:rFonts w:eastAsia="Times New Roman"/>
        </w:rPr>
        <w:t>. We consider this is the most reasonable approach</w:t>
      </w:r>
      <w:r w:rsidR="00210FC9">
        <w:rPr>
          <w:rFonts w:eastAsia="Times New Roman"/>
        </w:rPr>
        <w:t xml:space="preserve"> to coverage </w:t>
      </w:r>
      <w:r w:rsidR="00BE7F34">
        <w:rPr>
          <w:rFonts w:eastAsia="Times New Roman"/>
        </w:rPr>
        <w:t>enhancement</w:t>
      </w:r>
      <w:r w:rsidRPr="5A44E2EA">
        <w:rPr>
          <w:rFonts w:eastAsia="Times New Roman"/>
        </w:rPr>
        <w:t xml:space="preserve">. Multiple PRACH transmission is basically a repetitive transmission. This operation has been used in legacy MTC/NB-IoT. </w:t>
      </w:r>
      <w:r w:rsidR="00C33A62">
        <w:rPr>
          <w:rFonts w:eastAsia="Times New Roman"/>
        </w:rPr>
        <w:t>I</w:t>
      </w:r>
      <w:r w:rsidR="00C33A62" w:rsidRPr="5A44E2EA">
        <w:rPr>
          <w:rFonts w:eastAsia="Times New Roman"/>
        </w:rPr>
        <w:t xml:space="preserve">n </w:t>
      </w:r>
      <w:r w:rsidRPr="5A44E2EA">
        <w:rPr>
          <w:rFonts w:eastAsia="Times New Roman"/>
        </w:rPr>
        <w:t>supporting this operation, we need to investigate further on the detail</w:t>
      </w:r>
      <w:r w:rsidR="00734F70">
        <w:rPr>
          <w:rFonts w:eastAsia="Times New Roman"/>
        </w:rPr>
        <w:t>ed</w:t>
      </w:r>
      <w:r w:rsidRPr="5A44E2EA">
        <w:rPr>
          <w:rFonts w:eastAsia="Times New Roman"/>
        </w:rPr>
        <w:t xml:space="preserve"> aspect</w:t>
      </w:r>
      <w:r w:rsidR="00734F70">
        <w:rPr>
          <w:rFonts w:eastAsia="Times New Roman"/>
        </w:rPr>
        <w:t>s</w:t>
      </w:r>
      <w:r w:rsidRPr="5A44E2EA">
        <w:rPr>
          <w:rFonts w:eastAsia="Times New Roman"/>
        </w:rPr>
        <w:t xml:space="preserve">. The transmission of multiple PRACH can be </w:t>
      </w:r>
      <w:r w:rsidR="00960DAE">
        <w:rPr>
          <w:rFonts w:eastAsia="Times New Roman"/>
        </w:rPr>
        <w:t xml:space="preserve">done according </w:t>
      </w:r>
      <w:r w:rsidR="005137CF">
        <w:rPr>
          <w:rFonts w:eastAsia="Times New Roman"/>
        </w:rPr>
        <w:t>to</w:t>
      </w:r>
      <w:r w:rsidRPr="5A44E2EA">
        <w:rPr>
          <w:rFonts w:eastAsia="Times New Roman"/>
        </w:rPr>
        <w:t xml:space="preserve"> the following options:</w:t>
      </w:r>
    </w:p>
    <w:p w14:paraId="7C502CFE" w14:textId="50208D9B" w:rsidR="007C1E13" w:rsidRDefault="221B2B85" w:rsidP="5A44E2EA">
      <w:pPr>
        <w:pStyle w:val="ListParagraph"/>
        <w:numPr>
          <w:ilvl w:val="0"/>
          <w:numId w:val="40"/>
        </w:numPr>
        <w:rPr>
          <w:rFonts w:ascii="Times New Roman" w:eastAsia="Times New Roman" w:hAnsi="Times New Roman" w:cs="Times New Roman"/>
          <w:sz w:val="22"/>
          <w:szCs w:val="22"/>
        </w:rPr>
      </w:pPr>
      <w:r w:rsidRPr="5A44E2EA">
        <w:rPr>
          <w:rFonts w:ascii="Times New Roman" w:eastAsia="Times New Roman" w:hAnsi="Times New Roman" w:cs="Times New Roman"/>
          <w:sz w:val="22"/>
          <w:szCs w:val="22"/>
        </w:rPr>
        <w:t>UE transmit</w:t>
      </w:r>
      <w:r w:rsidR="005137CF">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xml:space="preserve"> multiple PRACH in the existing multiple RACH Occasion (RO) within the same RACH-period. In legacy NR, </w:t>
      </w:r>
      <w:r w:rsidR="007F2C74">
        <w:rPr>
          <w:rFonts w:ascii="Times New Roman" w:eastAsia="Times New Roman" w:hAnsi="Times New Roman" w:cs="Times New Roman"/>
          <w:sz w:val="22"/>
          <w:szCs w:val="22"/>
        </w:rPr>
        <w:t xml:space="preserve">there are </w:t>
      </w:r>
      <w:r w:rsidRPr="5A44E2EA">
        <w:rPr>
          <w:rFonts w:ascii="Times New Roman" w:eastAsia="Times New Roman" w:hAnsi="Times New Roman" w:cs="Times New Roman"/>
          <w:sz w:val="22"/>
          <w:szCs w:val="22"/>
        </w:rPr>
        <w:t xml:space="preserve">multiple </w:t>
      </w:r>
      <w:r w:rsidR="007F2C74">
        <w:rPr>
          <w:rFonts w:ascii="Times New Roman" w:eastAsia="Times New Roman" w:hAnsi="Times New Roman" w:cs="Times New Roman"/>
          <w:sz w:val="22"/>
          <w:szCs w:val="22"/>
        </w:rPr>
        <w:t>possible</w:t>
      </w:r>
      <w:r w:rsidR="00863C55">
        <w:rPr>
          <w:rFonts w:ascii="Times New Roman" w:eastAsia="Times New Roman" w:hAnsi="Times New Roman" w:cs="Times New Roman"/>
          <w:sz w:val="22"/>
          <w:szCs w:val="22"/>
        </w:rPr>
        <w:t xml:space="preserve"> mappings between</w:t>
      </w:r>
      <w:r w:rsidR="007F2C74">
        <w:rPr>
          <w:rFonts w:ascii="Times New Roman" w:eastAsia="Times New Roman" w:hAnsi="Times New Roman" w:cs="Times New Roman"/>
          <w:sz w:val="22"/>
          <w:szCs w:val="22"/>
        </w:rPr>
        <w:t xml:space="preserve"> </w:t>
      </w:r>
      <w:r w:rsidRPr="5A44E2EA">
        <w:rPr>
          <w:rFonts w:ascii="Times New Roman" w:eastAsia="Times New Roman" w:hAnsi="Times New Roman" w:cs="Times New Roman"/>
          <w:sz w:val="22"/>
          <w:szCs w:val="22"/>
        </w:rPr>
        <w:t>RACH Occasion</w:t>
      </w:r>
      <w:r w:rsidR="001D40B1">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xml:space="preserve"> (RO) </w:t>
      </w:r>
      <w:r w:rsidR="00863C55">
        <w:rPr>
          <w:rFonts w:ascii="Times New Roman" w:eastAsia="Times New Roman" w:hAnsi="Times New Roman" w:cs="Times New Roman"/>
          <w:sz w:val="22"/>
          <w:szCs w:val="22"/>
        </w:rPr>
        <w:t>and</w:t>
      </w:r>
      <w:r w:rsidRPr="5A44E2EA">
        <w:rPr>
          <w:rFonts w:ascii="Times New Roman" w:eastAsia="Times New Roman" w:hAnsi="Times New Roman" w:cs="Times New Roman"/>
          <w:sz w:val="22"/>
          <w:szCs w:val="22"/>
        </w:rPr>
        <w:t xml:space="preserve"> SSB beam</w:t>
      </w:r>
      <w:r w:rsidR="00863C55">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Hence, in this case, the UE can transmit multiple PRACH preamble</w:t>
      </w:r>
      <w:r w:rsidR="001503C9">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xml:space="preserve"> with different beams targeting different RO.</w:t>
      </w:r>
    </w:p>
    <w:p w14:paraId="2AF61F02" w14:textId="4AE0C16B" w:rsidR="007C1E13" w:rsidRDefault="221B2B85" w:rsidP="5A44E2EA">
      <w:pPr>
        <w:pStyle w:val="ListParagraph"/>
        <w:numPr>
          <w:ilvl w:val="0"/>
          <w:numId w:val="40"/>
        </w:numPr>
        <w:rPr>
          <w:rFonts w:ascii="Times New Roman" w:eastAsia="Times New Roman" w:hAnsi="Times New Roman" w:cs="Times New Roman"/>
          <w:sz w:val="22"/>
          <w:szCs w:val="22"/>
        </w:rPr>
      </w:pPr>
      <w:r w:rsidRPr="5A44E2EA">
        <w:rPr>
          <w:rFonts w:ascii="Times New Roman" w:eastAsia="Times New Roman" w:hAnsi="Times New Roman" w:cs="Times New Roman"/>
          <w:sz w:val="22"/>
          <w:szCs w:val="22"/>
        </w:rPr>
        <w:t>UE transmit</w:t>
      </w:r>
      <w:r w:rsidR="00AB01AA">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xml:space="preserve"> multiple PRACH in </w:t>
      </w:r>
      <w:r w:rsidR="002120DB">
        <w:rPr>
          <w:rFonts w:ascii="Times New Roman" w:eastAsia="Times New Roman" w:hAnsi="Times New Roman" w:cs="Times New Roman"/>
          <w:sz w:val="22"/>
          <w:szCs w:val="22"/>
        </w:rPr>
        <w:t xml:space="preserve">a </w:t>
      </w:r>
      <w:r w:rsidRPr="5A44E2EA">
        <w:rPr>
          <w:rFonts w:ascii="Times New Roman" w:eastAsia="Times New Roman" w:hAnsi="Times New Roman" w:cs="Times New Roman"/>
          <w:sz w:val="22"/>
          <w:szCs w:val="22"/>
        </w:rPr>
        <w:t xml:space="preserve">RACH occasion (RO) in different RACH-period. </w:t>
      </w:r>
      <w:r w:rsidR="002120DB">
        <w:rPr>
          <w:rFonts w:ascii="Times New Roman" w:eastAsia="Times New Roman" w:hAnsi="Times New Roman" w:cs="Times New Roman"/>
          <w:sz w:val="22"/>
          <w:szCs w:val="22"/>
        </w:rPr>
        <w:t xml:space="preserve">The </w:t>
      </w:r>
      <w:r w:rsidRPr="5A44E2EA">
        <w:rPr>
          <w:rFonts w:ascii="Times New Roman" w:eastAsia="Times New Roman" w:hAnsi="Times New Roman" w:cs="Times New Roman"/>
          <w:sz w:val="22"/>
          <w:szCs w:val="22"/>
        </w:rPr>
        <w:t>RACH-periodicity itself is between 10ms-160ms. It may not be feasible to transmit multiple PRACH in different RACH-period</w:t>
      </w:r>
      <w:r w:rsidR="00C81E38">
        <w:rPr>
          <w:rFonts w:ascii="Times New Roman" w:eastAsia="Times New Roman" w:hAnsi="Times New Roman" w:cs="Times New Roman"/>
          <w:sz w:val="22"/>
          <w:szCs w:val="22"/>
        </w:rPr>
        <w:t>s</w:t>
      </w:r>
      <w:r w:rsidRPr="5A44E2EA">
        <w:rPr>
          <w:rFonts w:ascii="Times New Roman" w:eastAsia="Times New Roman" w:hAnsi="Times New Roman" w:cs="Times New Roman"/>
          <w:sz w:val="22"/>
          <w:szCs w:val="22"/>
        </w:rPr>
        <w:t xml:space="preserve"> for the case of </w:t>
      </w:r>
      <w:r w:rsidR="00C81E38">
        <w:rPr>
          <w:rFonts w:ascii="Times New Roman" w:eastAsia="Times New Roman" w:hAnsi="Times New Roman" w:cs="Times New Roman"/>
          <w:sz w:val="22"/>
          <w:szCs w:val="22"/>
        </w:rPr>
        <w:t xml:space="preserve">a </w:t>
      </w:r>
      <w:r w:rsidRPr="5A44E2EA">
        <w:rPr>
          <w:rFonts w:ascii="Times New Roman" w:eastAsia="Times New Roman" w:hAnsi="Times New Roman" w:cs="Times New Roman"/>
          <w:sz w:val="22"/>
          <w:szCs w:val="22"/>
        </w:rPr>
        <w:t xml:space="preserve">RACH with long periodicity (e.g. 160ms). In such </w:t>
      </w:r>
      <w:r w:rsidR="00C81E38">
        <w:rPr>
          <w:rFonts w:ascii="Times New Roman" w:eastAsia="Times New Roman" w:hAnsi="Times New Roman" w:cs="Times New Roman"/>
          <w:sz w:val="22"/>
          <w:szCs w:val="22"/>
        </w:rPr>
        <w:t xml:space="preserve">a </w:t>
      </w:r>
      <w:r w:rsidRPr="5A44E2EA">
        <w:rPr>
          <w:rFonts w:ascii="Times New Roman" w:eastAsia="Times New Roman" w:hAnsi="Times New Roman" w:cs="Times New Roman"/>
          <w:sz w:val="22"/>
          <w:szCs w:val="22"/>
        </w:rPr>
        <w:t xml:space="preserve">case, additional RACH resources can be added to minimize the transmission </w:t>
      </w:r>
      <w:r w:rsidR="66A74338" w:rsidRPr="5A44E2EA">
        <w:rPr>
          <w:rFonts w:ascii="Times New Roman" w:eastAsia="Times New Roman" w:hAnsi="Times New Roman" w:cs="Times New Roman"/>
          <w:sz w:val="22"/>
          <w:szCs w:val="22"/>
        </w:rPr>
        <w:t xml:space="preserve">time </w:t>
      </w:r>
      <w:r w:rsidRPr="5A44E2EA">
        <w:rPr>
          <w:rFonts w:ascii="Times New Roman" w:eastAsia="Times New Roman" w:hAnsi="Times New Roman" w:cs="Times New Roman"/>
          <w:sz w:val="22"/>
          <w:szCs w:val="22"/>
        </w:rPr>
        <w:t>of multiple PRACH. RACH resources can be in different frequency resources. Hence, frequency diversity gain can be obtained.</w:t>
      </w:r>
    </w:p>
    <w:p w14:paraId="2156C27E" w14:textId="3D24C70B" w:rsidR="007C1E13" w:rsidRDefault="221B2B85" w:rsidP="5A44E2EA">
      <w:r w:rsidRPr="5A44E2EA">
        <w:rPr>
          <w:rFonts w:eastAsia="Times New Roman"/>
        </w:rPr>
        <w:t xml:space="preserve"> </w:t>
      </w:r>
    </w:p>
    <w:p w14:paraId="22F915C0" w14:textId="7540CEB2" w:rsidR="007C1E13" w:rsidRDefault="221B2B85" w:rsidP="5A44E2EA">
      <w:r w:rsidRPr="00342C6A">
        <w:rPr>
          <w:rFonts w:eastAsia="Times New Roman"/>
          <w:b/>
          <w:bCs/>
        </w:rPr>
        <w:t xml:space="preserve">Proposal </w:t>
      </w:r>
      <w:r w:rsidR="00342C6A" w:rsidRPr="00342C6A">
        <w:rPr>
          <w:rFonts w:eastAsia="Times New Roman"/>
          <w:b/>
          <w:bCs/>
        </w:rPr>
        <w:t>2</w:t>
      </w:r>
      <w:r w:rsidRPr="00342C6A">
        <w:rPr>
          <w:rFonts w:eastAsia="Times New Roman"/>
          <w:b/>
          <w:bCs/>
        </w:rPr>
        <w:t>:</w:t>
      </w:r>
      <w:r w:rsidRPr="5A44E2EA">
        <w:rPr>
          <w:rFonts w:eastAsia="Times New Roman"/>
          <w:b/>
          <w:bCs/>
        </w:rPr>
        <w:t xml:space="preserve"> Support Multiple PRACH transmission using the following options:</w:t>
      </w:r>
    </w:p>
    <w:p w14:paraId="6AAC8BC8" w14:textId="651D8882" w:rsidR="007C1E13" w:rsidRDefault="221B2B85" w:rsidP="5A44E2EA">
      <w:pPr>
        <w:pStyle w:val="ListParagraph"/>
        <w:numPr>
          <w:ilvl w:val="0"/>
          <w:numId w:val="39"/>
        </w:numPr>
        <w:rPr>
          <w:rFonts w:ascii="Times New Roman" w:eastAsia="Times New Roman" w:hAnsi="Times New Roman" w:cs="Times New Roman"/>
          <w:b/>
          <w:bCs/>
          <w:sz w:val="22"/>
          <w:szCs w:val="22"/>
        </w:rPr>
      </w:pPr>
      <w:r w:rsidRPr="5A44E2EA">
        <w:rPr>
          <w:rFonts w:ascii="Times New Roman" w:eastAsia="Times New Roman" w:hAnsi="Times New Roman" w:cs="Times New Roman"/>
          <w:b/>
          <w:bCs/>
          <w:sz w:val="22"/>
          <w:szCs w:val="22"/>
        </w:rPr>
        <w:t>Option 1: Multiple PRACH transmission in Multiple RO within a RACH-period.</w:t>
      </w:r>
    </w:p>
    <w:p w14:paraId="1572C1F2" w14:textId="2D21650E" w:rsidR="007C1E13" w:rsidRDefault="221B2B85" w:rsidP="5A44E2EA">
      <w:pPr>
        <w:pStyle w:val="ListParagraph"/>
        <w:numPr>
          <w:ilvl w:val="0"/>
          <w:numId w:val="39"/>
        </w:numPr>
        <w:rPr>
          <w:rFonts w:ascii="Times New Roman" w:eastAsia="Times New Roman" w:hAnsi="Times New Roman" w:cs="Times New Roman"/>
          <w:b/>
          <w:bCs/>
          <w:sz w:val="22"/>
          <w:szCs w:val="22"/>
        </w:rPr>
      </w:pPr>
      <w:r w:rsidRPr="5A44E2EA">
        <w:rPr>
          <w:rFonts w:ascii="Times New Roman" w:eastAsia="Times New Roman" w:hAnsi="Times New Roman" w:cs="Times New Roman"/>
          <w:b/>
          <w:bCs/>
          <w:sz w:val="22"/>
          <w:szCs w:val="22"/>
        </w:rPr>
        <w:t>Option 2: Multiple PRACH transmission in Multiple RO across RACH-period and/or using new RACH resources.</w:t>
      </w:r>
    </w:p>
    <w:p w14:paraId="318ED24F" w14:textId="60D85D35" w:rsidR="007C1E13" w:rsidRDefault="007C1E13" w:rsidP="00827817">
      <w:pPr>
        <w:rPr>
          <w:lang w:eastAsia="zh-CN"/>
        </w:rPr>
      </w:pPr>
    </w:p>
    <w:p w14:paraId="50335BEE" w14:textId="77777777" w:rsidR="00E0208B" w:rsidRDefault="00E0208B" w:rsidP="00827817">
      <w:pPr>
        <w:rPr>
          <w:lang w:eastAsia="zh-CN"/>
        </w:rPr>
      </w:pPr>
    </w:p>
    <w:p w14:paraId="2FC19C4A" w14:textId="5246820B" w:rsidR="00E0208B" w:rsidRDefault="00E0208B" w:rsidP="00E0208B">
      <w:pPr>
        <w:pStyle w:val="Heading2"/>
        <w:rPr>
          <w:lang w:eastAsia="zh-CN"/>
        </w:rPr>
      </w:pPr>
      <w:r>
        <w:rPr>
          <w:lang w:eastAsia="zh-CN"/>
        </w:rPr>
        <w:t xml:space="preserve">2-Step RACH </w:t>
      </w:r>
    </w:p>
    <w:p w14:paraId="7716BF8A" w14:textId="429C8EDE" w:rsidR="00E0208B" w:rsidRDefault="00F04F81" w:rsidP="00827817">
      <w:pPr>
        <w:rPr>
          <w:lang w:eastAsia="zh-CN"/>
        </w:rPr>
      </w:pPr>
      <w:r>
        <w:rPr>
          <w:lang w:eastAsia="zh-CN"/>
        </w:rPr>
        <w:t xml:space="preserve">Section </w:t>
      </w:r>
      <w:r>
        <w:rPr>
          <w:lang w:eastAsia="zh-CN"/>
        </w:rPr>
        <w:fldChar w:fldCharType="begin"/>
      </w:r>
      <w:r>
        <w:rPr>
          <w:lang w:eastAsia="zh-CN"/>
        </w:rPr>
        <w:instrText xml:space="preserve"> REF _Ref53751034 \n \h </w:instrText>
      </w:r>
      <w:r>
        <w:rPr>
          <w:lang w:eastAsia="zh-CN"/>
        </w:rPr>
      </w:r>
      <w:r>
        <w:rPr>
          <w:lang w:eastAsia="zh-CN"/>
        </w:rPr>
        <w:fldChar w:fldCharType="separate"/>
      </w:r>
      <w:r w:rsidR="00F85EB1">
        <w:rPr>
          <w:lang w:eastAsia="zh-CN"/>
        </w:rPr>
        <w:t>3.1</w:t>
      </w:r>
      <w:r>
        <w:rPr>
          <w:lang w:eastAsia="zh-CN"/>
        </w:rPr>
        <w:fldChar w:fldCharType="end"/>
      </w:r>
      <w:r>
        <w:rPr>
          <w:lang w:eastAsia="zh-CN"/>
        </w:rPr>
        <w:t xml:space="preserve"> has considered </w:t>
      </w:r>
      <w:r w:rsidR="007F6C8B">
        <w:rPr>
          <w:lang w:eastAsia="zh-CN"/>
        </w:rPr>
        <w:t xml:space="preserve">the need for PRACH enhancement. In RAN1#102e, there was reasonable consensus that </w:t>
      </w:r>
      <w:r w:rsidR="003E4508">
        <w:rPr>
          <w:lang w:eastAsia="zh-CN"/>
        </w:rPr>
        <w:t xml:space="preserve">Msg3 within the 4-step RACH procedure required coverage enhancement. In this section, we consider </w:t>
      </w:r>
      <w:r w:rsidR="007B7AC8">
        <w:rPr>
          <w:lang w:eastAsia="zh-CN"/>
        </w:rPr>
        <w:t>the applicability of coverage enhancement to the 2-step RACH</w:t>
      </w:r>
      <w:r w:rsidR="002A2AC2">
        <w:rPr>
          <w:lang w:eastAsia="zh-CN"/>
        </w:rPr>
        <w:t xml:space="preserve"> MsgA</w:t>
      </w:r>
      <w:r w:rsidR="007B7AC8">
        <w:rPr>
          <w:lang w:eastAsia="zh-CN"/>
        </w:rPr>
        <w:t>.</w:t>
      </w:r>
      <w:r w:rsidR="003E4508">
        <w:rPr>
          <w:lang w:eastAsia="zh-CN"/>
        </w:rPr>
        <w:t xml:space="preserve"> </w:t>
      </w:r>
    </w:p>
    <w:p w14:paraId="48A9B20F" w14:textId="77777777" w:rsidR="000454D8" w:rsidRDefault="000454D8" w:rsidP="000454D8">
      <w:pPr>
        <w:rPr>
          <w:szCs w:val="21"/>
          <w:lang w:eastAsia="zh-CN"/>
        </w:rPr>
      </w:pPr>
      <w:r>
        <w:rPr>
          <w:lang w:eastAsia="zh-CN"/>
        </w:rPr>
        <w:t>As noted in the FL summary for RAN1#102e</w:t>
      </w:r>
      <w:r>
        <w:rPr>
          <w:rFonts w:hint="eastAsia"/>
          <w:szCs w:val="21"/>
          <w:lang w:eastAsia="zh-CN"/>
        </w:rPr>
        <w:t>, PUSCH repetition is supported only for PUSCH scheduled by DCI 0_1/0_2 and only applied for RRC connected UEs. That is, Msg3 or MsgA PUSCH repetition scheduled by DCI 0_0 during RACH procedure is not supported.</w:t>
      </w:r>
      <w:r>
        <w:rPr>
          <w:szCs w:val="21"/>
          <w:lang w:eastAsia="zh-CN"/>
        </w:rPr>
        <w:t xml:space="preserve"> </w:t>
      </w:r>
    </w:p>
    <w:p w14:paraId="3120B8E0" w14:textId="05CAF228" w:rsidR="000454D8" w:rsidRDefault="000454D8" w:rsidP="000454D8">
      <w:pPr>
        <w:rPr>
          <w:szCs w:val="21"/>
          <w:lang w:eastAsia="zh-CN"/>
        </w:rPr>
      </w:pPr>
      <w:r>
        <w:rPr>
          <w:szCs w:val="21"/>
          <w:lang w:eastAsia="zh-CN"/>
        </w:rPr>
        <w:t xml:space="preserve">Many companies in RAN1#102e supported the enhancement of Msg3 transmission through Msg3 PUSCH repetition. Simulation results </w:t>
      </w:r>
      <w:r w:rsidR="00913030">
        <w:rPr>
          <w:szCs w:val="21"/>
          <w:lang w:eastAsia="zh-CN"/>
        </w:rPr>
        <w:fldChar w:fldCharType="begin"/>
      </w:r>
      <w:r w:rsidR="00913030">
        <w:rPr>
          <w:szCs w:val="21"/>
          <w:lang w:eastAsia="zh-CN"/>
        </w:rPr>
        <w:instrText xml:space="preserve"> REF _Ref53753497 \r \h </w:instrText>
      </w:r>
      <w:r w:rsidR="00913030">
        <w:rPr>
          <w:szCs w:val="21"/>
          <w:lang w:eastAsia="zh-CN"/>
        </w:rPr>
      </w:r>
      <w:r w:rsidR="00913030">
        <w:rPr>
          <w:szCs w:val="21"/>
          <w:lang w:eastAsia="zh-CN"/>
        </w:rPr>
        <w:fldChar w:fldCharType="separate"/>
      </w:r>
      <w:r w:rsidR="00F85EB1">
        <w:rPr>
          <w:szCs w:val="21"/>
          <w:lang w:eastAsia="zh-CN"/>
        </w:rPr>
        <w:t>[7]</w:t>
      </w:r>
      <w:r w:rsidR="00913030">
        <w:rPr>
          <w:szCs w:val="21"/>
          <w:lang w:eastAsia="zh-CN"/>
        </w:rPr>
        <w:fldChar w:fldCharType="end"/>
      </w:r>
      <w:r w:rsidR="009721BD">
        <w:rPr>
          <w:szCs w:val="21"/>
          <w:lang w:eastAsia="zh-CN"/>
        </w:rPr>
        <w:t xml:space="preserve">, </w:t>
      </w:r>
      <w:r w:rsidR="009721BD">
        <w:rPr>
          <w:szCs w:val="21"/>
          <w:lang w:eastAsia="zh-CN"/>
        </w:rPr>
        <w:fldChar w:fldCharType="begin"/>
      </w:r>
      <w:r w:rsidR="009721BD">
        <w:rPr>
          <w:szCs w:val="21"/>
          <w:lang w:eastAsia="zh-CN"/>
        </w:rPr>
        <w:instrText xml:space="preserve"> REF _Ref53753502 \r \h </w:instrText>
      </w:r>
      <w:r w:rsidR="009721BD">
        <w:rPr>
          <w:szCs w:val="21"/>
          <w:lang w:eastAsia="zh-CN"/>
        </w:rPr>
      </w:r>
      <w:r w:rsidR="009721BD">
        <w:rPr>
          <w:szCs w:val="21"/>
          <w:lang w:eastAsia="zh-CN"/>
        </w:rPr>
        <w:fldChar w:fldCharType="separate"/>
      </w:r>
      <w:r w:rsidR="00F85EB1">
        <w:rPr>
          <w:szCs w:val="21"/>
          <w:lang w:eastAsia="zh-CN"/>
        </w:rPr>
        <w:t>[8]</w:t>
      </w:r>
      <w:r w:rsidR="009721BD">
        <w:rPr>
          <w:szCs w:val="21"/>
          <w:lang w:eastAsia="zh-CN"/>
        </w:rPr>
        <w:fldChar w:fldCharType="end"/>
      </w:r>
      <w:r w:rsidR="009721BD">
        <w:rPr>
          <w:szCs w:val="21"/>
          <w:lang w:eastAsia="zh-CN"/>
        </w:rPr>
        <w:t xml:space="preserve"> </w:t>
      </w:r>
      <w:r>
        <w:rPr>
          <w:szCs w:val="21"/>
          <w:lang w:eastAsia="zh-CN"/>
        </w:rPr>
        <w:t>show gains of between 2dB, for 2 repetitions, and 5.5 dB for 4 repetitions. Advantages of repetition over re-transmission include reduced latency (less time is wasted waiting for PUSCH re-transmissions) and PDCCH issues, including missed detection risk and PDCCH overhead.</w:t>
      </w:r>
    </w:p>
    <w:p w14:paraId="4F613188" w14:textId="3A6AA662" w:rsidR="000454D8" w:rsidRDefault="003600DE" w:rsidP="000454D8">
      <w:pPr>
        <w:rPr>
          <w:szCs w:val="21"/>
          <w:lang w:eastAsia="zh-CN"/>
        </w:rPr>
      </w:pPr>
      <w:r w:rsidRPr="003600DE">
        <w:rPr>
          <w:szCs w:val="21"/>
          <w:lang w:eastAsia="zh-CN"/>
        </w:rPr>
        <w:fldChar w:fldCharType="begin"/>
      </w:r>
      <w:r w:rsidRPr="003600DE">
        <w:rPr>
          <w:szCs w:val="21"/>
          <w:lang w:eastAsia="zh-CN"/>
        </w:rPr>
        <w:instrText xml:space="preserve"> REF _Ref53753556 \r \h </w:instrText>
      </w:r>
      <w:r>
        <w:rPr>
          <w:szCs w:val="21"/>
          <w:lang w:eastAsia="zh-CN"/>
        </w:rPr>
        <w:instrText xml:space="preserve"> \* MERGEFORMAT </w:instrText>
      </w:r>
      <w:r w:rsidRPr="003600DE">
        <w:rPr>
          <w:szCs w:val="21"/>
          <w:lang w:eastAsia="zh-CN"/>
        </w:rPr>
      </w:r>
      <w:r w:rsidRPr="003600DE">
        <w:rPr>
          <w:szCs w:val="21"/>
          <w:lang w:eastAsia="zh-CN"/>
        </w:rPr>
        <w:fldChar w:fldCharType="separate"/>
      </w:r>
      <w:r w:rsidRPr="003600DE">
        <w:rPr>
          <w:szCs w:val="21"/>
          <w:lang w:eastAsia="zh-CN"/>
        </w:rPr>
        <w:t>[9]</w:t>
      </w:r>
      <w:r w:rsidRPr="003600DE">
        <w:rPr>
          <w:szCs w:val="21"/>
          <w:lang w:eastAsia="zh-CN"/>
        </w:rPr>
        <w:fldChar w:fldCharType="end"/>
      </w:r>
      <w:r w:rsidRPr="003600DE">
        <w:rPr>
          <w:szCs w:val="21"/>
          <w:lang w:eastAsia="zh-CN"/>
        </w:rPr>
        <w:t xml:space="preserve"> and </w:t>
      </w:r>
      <w:r w:rsidRPr="003600DE">
        <w:rPr>
          <w:szCs w:val="21"/>
          <w:lang w:eastAsia="zh-CN"/>
        </w:rPr>
        <w:fldChar w:fldCharType="begin"/>
      </w:r>
      <w:r w:rsidRPr="003600DE">
        <w:rPr>
          <w:szCs w:val="21"/>
          <w:lang w:eastAsia="zh-CN"/>
        </w:rPr>
        <w:instrText xml:space="preserve"> REF _Ref53753558 \r \h </w:instrText>
      </w:r>
      <w:r>
        <w:rPr>
          <w:szCs w:val="21"/>
          <w:lang w:eastAsia="zh-CN"/>
        </w:rPr>
        <w:instrText xml:space="preserve"> \* MERGEFORMAT </w:instrText>
      </w:r>
      <w:r w:rsidRPr="003600DE">
        <w:rPr>
          <w:szCs w:val="21"/>
          <w:lang w:eastAsia="zh-CN"/>
        </w:rPr>
      </w:r>
      <w:r w:rsidRPr="003600DE">
        <w:rPr>
          <w:szCs w:val="21"/>
          <w:lang w:eastAsia="zh-CN"/>
        </w:rPr>
        <w:fldChar w:fldCharType="separate"/>
      </w:r>
      <w:r w:rsidRPr="003600DE">
        <w:rPr>
          <w:szCs w:val="21"/>
          <w:lang w:eastAsia="zh-CN"/>
        </w:rPr>
        <w:t>[10]</w:t>
      </w:r>
      <w:r w:rsidRPr="003600DE">
        <w:rPr>
          <w:szCs w:val="21"/>
          <w:lang w:eastAsia="zh-CN"/>
        </w:rPr>
        <w:fldChar w:fldCharType="end"/>
      </w:r>
      <w:r>
        <w:rPr>
          <w:szCs w:val="21"/>
          <w:lang w:eastAsia="zh-CN"/>
        </w:rPr>
        <w:t xml:space="preserve"> </w:t>
      </w:r>
      <w:r w:rsidR="000454D8" w:rsidRPr="003600DE">
        <w:rPr>
          <w:szCs w:val="21"/>
          <w:lang w:eastAsia="zh-CN"/>
        </w:rPr>
        <w:t>propose that</w:t>
      </w:r>
      <w:r w:rsidR="000454D8">
        <w:rPr>
          <w:szCs w:val="21"/>
          <w:lang w:eastAsia="zh-CN"/>
        </w:rPr>
        <w:t xml:space="preserve"> MsgA PUSCH repetition is supported. Some companies observed that in Rel-16, 2-step RACH did not target coverage-limited UEs: those coverage limited UEs could default to 4-step RACH if their SSB-RSRP fell below a configurable threshold. While the configurable threshold allows the network to steer cell-centre UEs towards using 2-step RACH and cell-edge UEs to use 4-step RACH, the setting of the threshold value is down to network implementation and a network can set the threshold low such that all UEs use 2-step RACH. While Rel-16 may not have striven for enhanced coverage of the 2-step RACH, in Rel-17 RAN1 should look towards the enhancement of coverage of channels as part of this coverage enhancements study item (shouldn’t the study look to enhanc</w:t>
      </w:r>
      <w:r w:rsidR="00342C6A">
        <w:rPr>
          <w:szCs w:val="21"/>
          <w:lang w:eastAsia="zh-CN"/>
        </w:rPr>
        <w:t>e</w:t>
      </w:r>
      <w:r w:rsidR="000454D8">
        <w:rPr>
          <w:szCs w:val="21"/>
          <w:lang w:eastAsia="zh-CN"/>
        </w:rPr>
        <w:t xml:space="preserve"> the coverage of channels whose Rel-16 coverage is worse rather than those Rel-16 channels that already have good coverage?).     </w:t>
      </w:r>
    </w:p>
    <w:p w14:paraId="7F1B2075" w14:textId="7CA80547" w:rsidR="00BA7D08" w:rsidRDefault="00E37EA6" w:rsidP="000454D8">
      <w:pPr>
        <w:rPr>
          <w:lang w:eastAsia="zh-CN"/>
        </w:rPr>
      </w:pPr>
      <w:r>
        <w:rPr>
          <w:szCs w:val="21"/>
          <w:lang w:eastAsia="zh-CN"/>
        </w:rPr>
        <w:t xml:space="preserve">When both PRACH repetition and PUSCH repetition are supported for MsgA, the order of repetitions of PRACH and PUSCH </w:t>
      </w:r>
      <w:r w:rsidR="00FB3E9C">
        <w:rPr>
          <w:szCs w:val="21"/>
          <w:lang w:eastAsia="zh-CN"/>
        </w:rPr>
        <w:t>need to be considered</w:t>
      </w:r>
      <w:r w:rsidR="00A934C1">
        <w:rPr>
          <w:szCs w:val="21"/>
          <w:lang w:eastAsia="zh-CN"/>
        </w:rPr>
        <w:t>. T</w:t>
      </w:r>
      <w:r w:rsidR="00D061CF">
        <w:rPr>
          <w:szCs w:val="21"/>
          <w:lang w:eastAsia="zh-CN"/>
        </w:rPr>
        <w:t>wo</w:t>
      </w:r>
      <w:r w:rsidR="00A934C1">
        <w:rPr>
          <w:szCs w:val="21"/>
          <w:lang w:eastAsia="zh-CN"/>
        </w:rPr>
        <w:t xml:space="preserve"> possibilities are shown in </w:t>
      </w:r>
      <w:r w:rsidR="00E35627">
        <w:rPr>
          <w:szCs w:val="21"/>
          <w:lang w:eastAsia="zh-CN"/>
        </w:rPr>
        <w:t>Figure 4 of [</w:t>
      </w:r>
      <w:r w:rsidR="002530B1">
        <w:rPr>
          <w:szCs w:val="21"/>
          <w:lang w:eastAsia="zh-CN"/>
        </w:rPr>
        <w:t>5]</w:t>
      </w:r>
      <w:r w:rsidR="00F2045D">
        <w:rPr>
          <w:szCs w:val="21"/>
          <w:lang w:eastAsia="zh-CN"/>
        </w:rPr>
        <w:t xml:space="preserve">: see </w:t>
      </w:r>
      <w:r w:rsidR="00F2045D">
        <w:rPr>
          <w:szCs w:val="21"/>
          <w:lang w:eastAsia="zh-CN"/>
        </w:rPr>
        <w:fldChar w:fldCharType="begin"/>
      </w:r>
      <w:r w:rsidR="00F2045D">
        <w:rPr>
          <w:szCs w:val="21"/>
          <w:lang w:eastAsia="zh-CN"/>
        </w:rPr>
        <w:instrText xml:space="preserve"> REF _Ref53751980 \h </w:instrText>
      </w:r>
      <w:r w:rsidR="00F2045D">
        <w:rPr>
          <w:szCs w:val="21"/>
          <w:lang w:eastAsia="zh-CN"/>
        </w:rPr>
      </w:r>
      <w:r w:rsidR="00F2045D">
        <w:rPr>
          <w:szCs w:val="21"/>
          <w:lang w:eastAsia="zh-CN"/>
        </w:rPr>
        <w:fldChar w:fldCharType="separate"/>
      </w:r>
      <w:r w:rsidR="00F85EB1">
        <w:t xml:space="preserve">Figure </w:t>
      </w:r>
      <w:r w:rsidR="00F85EB1">
        <w:rPr>
          <w:noProof/>
        </w:rPr>
        <w:t>2</w:t>
      </w:r>
      <w:r w:rsidR="00F2045D">
        <w:rPr>
          <w:szCs w:val="21"/>
          <w:lang w:eastAsia="zh-CN"/>
        </w:rPr>
        <w:fldChar w:fldCharType="end"/>
      </w:r>
      <w:r w:rsidR="00F2045D">
        <w:rPr>
          <w:szCs w:val="21"/>
          <w:lang w:eastAsia="zh-CN"/>
        </w:rPr>
        <w:t xml:space="preserve"> of this document</w:t>
      </w:r>
      <w:r w:rsidR="002530B1">
        <w:rPr>
          <w:szCs w:val="21"/>
          <w:lang w:eastAsia="zh-CN"/>
        </w:rPr>
        <w:t>.</w:t>
      </w:r>
      <w:r w:rsidR="004059D8">
        <w:rPr>
          <w:szCs w:val="21"/>
          <w:lang w:eastAsia="zh-CN"/>
        </w:rPr>
        <w:t xml:space="preserve"> </w:t>
      </w:r>
      <w:r w:rsidR="00D66697">
        <w:rPr>
          <w:szCs w:val="21"/>
          <w:lang w:eastAsia="zh-CN"/>
        </w:rPr>
        <w:t xml:space="preserve">Supporting a full set of PRACH repetitions prior to the set of PUSCH repetitions </w:t>
      </w:r>
      <w:r w:rsidR="00242E06">
        <w:rPr>
          <w:szCs w:val="21"/>
          <w:lang w:eastAsia="zh-CN"/>
        </w:rPr>
        <w:t xml:space="preserve">(upper part of figure) </w:t>
      </w:r>
      <w:r w:rsidR="00D66697">
        <w:rPr>
          <w:szCs w:val="21"/>
          <w:lang w:eastAsia="zh-CN"/>
        </w:rPr>
        <w:t>allows the gNB to combine all of the PUSCH repetitions</w:t>
      </w:r>
      <w:r w:rsidR="00492D70">
        <w:rPr>
          <w:szCs w:val="21"/>
          <w:lang w:eastAsia="zh-CN"/>
        </w:rPr>
        <w:t xml:space="preserve"> (once a repeated PRACH is </w:t>
      </w:r>
      <w:r w:rsidR="00492D70">
        <w:rPr>
          <w:szCs w:val="21"/>
          <w:lang w:eastAsia="zh-CN"/>
        </w:rPr>
        <w:lastRenderedPageBreak/>
        <w:t xml:space="preserve">received, the gNB </w:t>
      </w:r>
      <w:r w:rsidR="00D669CD">
        <w:rPr>
          <w:szCs w:val="21"/>
          <w:lang w:eastAsia="zh-CN"/>
        </w:rPr>
        <w:t xml:space="preserve">can start </w:t>
      </w:r>
      <w:r w:rsidR="00041C5F">
        <w:rPr>
          <w:szCs w:val="21"/>
          <w:lang w:eastAsia="zh-CN"/>
        </w:rPr>
        <w:t>combining the repeated PUSCH from the first PUSCH instance).</w:t>
      </w:r>
      <w:r w:rsidR="000A5399">
        <w:rPr>
          <w:szCs w:val="21"/>
          <w:lang w:eastAsia="zh-CN"/>
        </w:rPr>
        <w:t xml:space="preserve"> Supporting interleaved PRACH and PUSCH repetitions (lower part of figure)</w:t>
      </w:r>
      <w:r w:rsidR="00461FFE">
        <w:rPr>
          <w:szCs w:val="21"/>
          <w:lang w:eastAsia="zh-CN"/>
        </w:rPr>
        <w:t xml:space="preserve"> </w:t>
      </w:r>
      <w:r w:rsidR="005D7B39">
        <w:rPr>
          <w:szCs w:val="21"/>
          <w:lang w:eastAsia="zh-CN"/>
        </w:rPr>
        <w:t>reduces latency (</w:t>
      </w:r>
      <w:r w:rsidR="00D67FC1">
        <w:rPr>
          <w:szCs w:val="21"/>
          <w:lang w:eastAsia="zh-CN"/>
        </w:rPr>
        <w:t xml:space="preserve">the </w:t>
      </w:r>
      <w:r w:rsidR="00CA4064">
        <w:rPr>
          <w:szCs w:val="21"/>
          <w:lang w:eastAsia="zh-CN"/>
        </w:rPr>
        <w:t>UE does not need to wa</w:t>
      </w:r>
      <w:r w:rsidR="000D7C07">
        <w:rPr>
          <w:szCs w:val="21"/>
          <w:lang w:eastAsia="zh-CN"/>
        </w:rPr>
        <w:t xml:space="preserve">it </w:t>
      </w:r>
      <w:r w:rsidR="00BF7900">
        <w:rPr>
          <w:szCs w:val="21"/>
          <w:lang w:eastAsia="zh-CN"/>
        </w:rPr>
        <w:t>until it has transmitted all the PRACH before it can start transmitting PUSCH)</w:t>
      </w:r>
      <w:r w:rsidR="000D4AD4">
        <w:rPr>
          <w:szCs w:val="21"/>
          <w:lang w:eastAsia="zh-CN"/>
        </w:rPr>
        <w:t xml:space="preserve">, however PUSCH decoding performance is expected to be degraded since </w:t>
      </w:r>
      <w:r w:rsidR="00A607F7">
        <w:rPr>
          <w:szCs w:val="21"/>
          <w:lang w:eastAsia="zh-CN"/>
        </w:rPr>
        <w:t>if an initial PRACH is not detected by the gNodeB</w:t>
      </w:r>
      <w:r w:rsidR="003B04F4">
        <w:rPr>
          <w:szCs w:val="21"/>
          <w:lang w:eastAsia="zh-CN"/>
        </w:rPr>
        <w:t xml:space="preserve">, the associated PUSCH </w:t>
      </w:r>
      <w:r w:rsidR="00F10B1D">
        <w:rPr>
          <w:szCs w:val="21"/>
          <w:lang w:eastAsia="zh-CN"/>
        </w:rPr>
        <w:t>would also not be detected.</w:t>
      </w:r>
      <w:r w:rsidR="00D66697">
        <w:rPr>
          <w:szCs w:val="21"/>
          <w:lang w:eastAsia="zh-CN"/>
        </w:rPr>
        <w:t xml:space="preserve"> </w:t>
      </w:r>
      <w:r w:rsidR="00987A1F">
        <w:rPr>
          <w:szCs w:val="21"/>
          <w:lang w:eastAsia="zh-CN"/>
        </w:rPr>
        <w:t>The details of ass</w:t>
      </w:r>
      <w:r w:rsidR="00C036EB">
        <w:rPr>
          <w:szCs w:val="21"/>
          <w:lang w:eastAsia="zh-CN"/>
        </w:rPr>
        <w:t xml:space="preserve">ociation between PRACH and PUSCH </w:t>
      </w:r>
      <w:r w:rsidR="0021020A">
        <w:rPr>
          <w:szCs w:val="21"/>
          <w:lang w:eastAsia="zh-CN"/>
        </w:rPr>
        <w:t>for 2-step RACH can be considered during the work item phase</w:t>
      </w:r>
      <w:r w:rsidR="0027148B">
        <w:rPr>
          <w:szCs w:val="21"/>
          <w:lang w:eastAsia="zh-CN"/>
        </w:rPr>
        <w:t>. In terms of this study item, it appears that there are</w:t>
      </w:r>
      <w:r w:rsidR="002F70A6">
        <w:rPr>
          <w:szCs w:val="21"/>
          <w:lang w:eastAsia="zh-CN"/>
        </w:rPr>
        <w:t xml:space="preserve"> workable approaches to extending the coverage of </w:t>
      </w:r>
      <w:r w:rsidR="00085FF2">
        <w:rPr>
          <w:szCs w:val="21"/>
          <w:lang w:eastAsia="zh-CN"/>
        </w:rPr>
        <w:t>the 2-step RACH MsgA.</w:t>
      </w:r>
    </w:p>
    <w:p w14:paraId="5F5F6012" w14:textId="2BC14619" w:rsidR="00B12454" w:rsidRDefault="00B12454" w:rsidP="00B12454">
      <w:pPr>
        <w:jc w:val="center"/>
      </w:pPr>
      <w:r>
        <w:object w:dxaOrig="13711" w:dyaOrig="6991" w14:anchorId="68F57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6.5pt" o:ole="">
            <v:imagedata r:id="rId13" o:title=""/>
          </v:shape>
          <o:OLEObject Type="Embed" ProgID="Visio.Drawing.15" ShapeID="_x0000_i1025" DrawAspect="Content" ObjectID="_1664404388" r:id="rId14"/>
        </w:object>
      </w:r>
    </w:p>
    <w:p w14:paraId="530480A4" w14:textId="0A53F321" w:rsidR="00B12454" w:rsidRDefault="00B12454" w:rsidP="00B12454">
      <w:pPr>
        <w:pStyle w:val="Caption"/>
        <w:rPr>
          <w:lang w:eastAsia="zh-CN"/>
        </w:rPr>
      </w:pPr>
      <w:bookmarkStart w:id="3" w:name="_Ref53751980"/>
      <w:r>
        <w:t xml:space="preserve">Figure </w:t>
      </w:r>
      <w:fldSimple w:instr=" SEQ Figure \* ARABIC ">
        <w:r w:rsidR="00F85EB1">
          <w:rPr>
            <w:noProof/>
          </w:rPr>
          <w:t>2</w:t>
        </w:r>
      </w:fldSimple>
      <w:bookmarkEnd w:id="3"/>
      <w:r>
        <w:t xml:space="preserve"> – Options </w:t>
      </w:r>
      <w:r w:rsidR="00D061CF">
        <w:t>for repetition of PRACH and PUSCH in MsgA of 2-step PRACH (from [5]: vivo)</w:t>
      </w:r>
    </w:p>
    <w:p w14:paraId="63EFB9A5" w14:textId="77777777" w:rsidR="00E0208B" w:rsidRDefault="00E0208B" w:rsidP="00A45157">
      <w:pPr>
        <w:rPr>
          <w:highlight w:val="cyan"/>
        </w:rPr>
      </w:pPr>
    </w:p>
    <w:p w14:paraId="32087E90" w14:textId="7C68F69E" w:rsidR="00A45157" w:rsidRDefault="00A45157" w:rsidP="00A45157">
      <w:pPr>
        <w:rPr>
          <w:lang w:eastAsia="zh-CN"/>
        </w:rPr>
      </w:pPr>
      <w:r w:rsidRPr="00342C6A">
        <w:rPr>
          <w:b/>
          <w:bCs/>
          <w:szCs w:val="21"/>
          <w:lang w:eastAsia="zh-CN"/>
        </w:rPr>
        <w:t xml:space="preserve">Proposal </w:t>
      </w:r>
      <w:r w:rsidR="00342C6A" w:rsidRPr="00342C6A">
        <w:rPr>
          <w:b/>
          <w:bCs/>
          <w:szCs w:val="21"/>
          <w:lang w:eastAsia="zh-CN"/>
        </w:rPr>
        <w:t>3</w:t>
      </w:r>
      <w:r w:rsidRPr="00342C6A">
        <w:rPr>
          <w:b/>
          <w:bCs/>
          <w:szCs w:val="21"/>
          <w:lang w:eastAsia="zh-CN"/>
        </w:rPr>
        <w:t>: Coverage</w:t>
      </w:r>
      <w:r w:rsidRPr="00787A25">
        <w:rPr>
          <w:b/>
          <w:bCs/>
          <w:szCs w:val="21"/>
          <w:lang w:eastAsia="zh-CN"/>
        </w:rPr>
        <w:t xml:space="preserve"> enhancement applies to the MsgA PUSCH of 2-step RACH</w:t>
      </w:r>
      <w:r>
        <w:rPr>
          <w:szCs w:val="21"/>
          <w:lang w:eastAsia="zh-CN"/>
        </w:rPr>
        <w:t>.</w:t>
      </w:r>
    </w:p>
    <w:p w14:paraId="5860D61B" w14:textId="77777777" w:rsidR="00A45157" w:rsidRPr="00A45157" w:rsidRDefault="00A45157" w:rsidP="00A45157">
      <w:pPr>
        <w:rPr>
          <w:highlight w:val="cyan"/>
        </w:rPr>
      </w:pPr>
    </w:p>
    <w:bookmarkEnd w:id="0"/>
    <w:p w14:paraId="56C13E2F" w14:textId="5899AED1" w:rsidR="002870AB" w:rsidRPr="002870AB" w:rsidRDefault="002870AB" w:rsidP="7C93F6E5">
      <w:pPr>
        <w:pStyle w:val="Heading1"/>
        <w:numPr>
          <w:ilvl w:val="0"/>
          <w:numId w:val="0"/>
        </w:numPr>
        <w:rPr>
          <w:lang w:eastAsia="zh-CN"/>
        </w:rPr>
      </w:pPr>
    </w:p>
    <w:p w14:paraId="3FC55F81" w14:textId="105FBB25" w:rsidR="00CE1213" w:rsidRPr="00094F43" w:rsidRDefault="00094F43" w:rsidP="00387C77">
      <w:pPr>
        <w:pStyle w:val="Heading1"/>
        <w:spacing w:after="80"/>
        <w:jc w:val="left"/>
        <w:rPr>
          <w:sz w:val="24"/>
          <w:szCs w:val="24"/>
          <w:lang w:eastAsia="zh-CN"/>
        </w:rPr>
      </w:pPr>
      <w:bookmarkStart w:id="4" w:name="_Hlk47387515"/>
      <w:r w:rsidRPr="7C93F6E5">
        <w:rPr>
          <w:sz w:val="24"/>
          <w:szCs w:val="24"/>
          <w:lang w:eastAsia="zh-CN"/>
        </w:rPr>
        <w:t>Conclusions</w:t>
      </w:r>
    </w:p>
    <w:p w14:paraId="2D7DE78E" w14:textId="3B343283" w:rsidR="00E25E48" w:rsidRDefault="00790026" w:rsidP="00E25E48">
      <w:pPr>
        <w:rPr>
          <w:bCs/>
        </w:rPr>
      </w:pPr>
      <w:r>
        <w:rPr>
          <w:bCs/>
        </w:rPr>
        <w:t xml:space="preserve">This document has considered </w:t>
      </w:r>
      <w:r w:rsidR="00536835">
        <w:rPr>
          <w:bCs/>
        </w:rPr>
        <w:t>coverage enhancement issues related to initial access channels</w:t>
      </w:r>
      <w:r>
        <w:rPr>
          <w:bCs/>
        </w:rPr>
        <w:t xml:space="preserve"> for NR. The following proposals are made:</w:t>
      </w:r>
    </w:p>
    <w:p w14:paraId="5C829385" w14:textId="6E4D14EC" w:rsidR="00342C6A" w:rsidRPr="00342C6A" w:rsidRDefault="00342C6A" w:rsidP="00E25E48">
      <w:pPr>
        <w:rPr>
          <w:b/>
          <w:color w:val="FF0000"/>
          <w:u w:val="single"/>
        </w:rPr>
      </w:pPr>
      <w:r w:rsidRPr="00342C6A">
        <w:rPr>
          <w:b/>
          <w:color w:val="FF0000"/>
          <w:u w:val="single"/>
        </w:rPr>
        <w:t>SSB</w:t>
      </w:r>
    </w:p>
    <w:bookmarkEnd w:id="4"/>
    <w:p w14:paraId="60220FE6" w14:textId="77777777" w:rsidR="00342C6A" w:rsidRPr="00342C6A" w:rsidRDefault="00342C6A" w:rsidP="00342C6A">
      <w:pPr>
        <w:rPr>
          <w:b/>
          <w:bCs/>
        </w:rPr>
      </w:pPr>
      <w:r w:rsidRPr="00342C6A">
        <w:rPr>
          <w:b/>
          <w:bCs/>
        </w:rPr>
        <w:t>Observation 1: Results suggest that in between 25% and 40% of the times, a UE identifies wrong beam as the strongest beam.</w:t>
      </w:r>
    </w:p>
    <w:p w14:paraId="575BCC3A" w14:textId="77777777" w:rsidR="00342C6A" w:rsidRPr="0070495E" w:rsidRDefault="00342C6A" w:rsidP="00342C6A">
      <w:pPr>
        <w:rPr>
          <w:b/>
          <w:bCs/>
        </w:rPr>
      </w:pPr>
      <w:r w:rsidRPr="00342C6A">
        <w:rPr>
          <w:b/>
          <w:bCs/>
        </w:rPr>
        <w:t>Proposal 1: Evaluate</w:t>
      </w:r>
      <w:r w:rsidRPr="0070495E">
        <w:rPr>
          <w:b/>
          <w:bCs/>
        </w:rPr>
        <w:t xml:space="preserve"> enhanced SSBs, where polarization properties are included.</w:t>
      </w:r>
    </w:p>
    <w:p w14:paraId="07FD2F3E" w14:textId="61CA1856" w:rsidR="00E25E48" w:rsidRDefault="00E25E48" w:rsidP="00E25E48">
      <w:pPr>
        <w:rPr>
          <w:b/>
        </w:rPr>
      </w:pPr>
    </w:p>
    <w:p w14:paraId="6F70B7D2" w14:textId="4CDB11EC" w:rsidR="00342C6A" w:rsidRPr="00342C6A" w:rsidRDefault="00342C6A" w:rsidP="00342C6A">
      <w:pPr>
        <w:rPr>
          <w:b/>
          <w:color w:val="FF0000"/>
          <w:u w:val="single"/>
        </w:rPr>
      </w:pPr>
      <w:r>
        <w:rPr>
          <w:b/>
          <w:color w:val="FF0000"/>
          <w:u w:val="single"/>
        </w:rPr>
        <w:t>P</w:t>
      </w:r>
      <w:bookmarkStart w:id="5" w:name="_GoBack"/>
      <w:bookmarkEnd w:id="5"/>
      <w:r>
        <w:rPr>
          <w:b/>
          <w:color w:val="FF0000"/>
          <w:u w:val="single"/>
        </w:rPr>
        <w:t>RACH</w:t>
      </w:r>
    </w:p>
    <w:p w14:paraId="5248DE23" w14:textId="77777777" w:rsidR="00342C6A" w:rsidRDefault="00342C6A" w:rsidP="00342C6A">
      <w:r w:rsidRPr="00342C6A">
        <w:rPr>
          <w:rFonts w:eastAsia="Times New Roman"/>
          <w:b/>
          <w:bCs/>
        </w:rPr>
        <w:t>Proposal 2:</w:t>
      </w:r>
      <w:r w:rsidRPr="5A44E2EA">
        <w:rPr>
          <w:rFonts w:eastAsia="Times New Roman"/>
          <w:b/>
          <w:bCs/>
        </w:rPr>
        <w:t xml:space="preserve"> Support Multiple PRACH transmission using the following options:</w:t>
      </w:r>
    </w:p>
    <w:p w14:paraId="507EBF74" w14:textId="77777777" w:rsidR="00342C6A" w:rsidRDefault="00342C6A" w:rsidP="00342C6A">
      <w:pPr>
        <w:pStyle w:val="ListParagraph"/>
        <w:numPr>
          <w:ilvl w:val="0"/>
          <w:numId w:val="39"/>
        </w:numPr>
        <w:rPr>
          <w:rFonts w:ascii="Times New Roman" w:eastAsia="Times New Roman" w:hAnsi="Times New Roman" w:cs="Times New Roman"/>
          <w:b/>
          <w:bCs/>
          <w:sz w:val="22"/>
          <w:szCs w:val="22"/>
        </w:rPr>
      </w:pPr>
      <w:r w:rsidRPr="5A44E2EA">
        <w:rPr>
          <w:rFonts w:ascii="Times New Roman" w:eastAsia="Times New Roman" w:hAnsi="Times New Roman" w:cs="Times New Roman"/>
          <w:b/>
          <w:bCs/>
          <w:sz w:val="22"/>
          <w:szCs w:val="22"/>
        </w:rPr>
        <w:t>Option 1: Multiple PRACH transmission in Multiple RO within a RACH-period.</w:t>
      </w:r>
    </w:p>
    <w:p w14:paraId="29839DB5" w14:textId="77777777" w:rsidR="00342C6A" w:rsidRDefault="00342C6A" w:rsidP="00342C6A">
      <w:pPr>
        <w:pStyle w:val="ListParagraph"/>
        <w:numPr>
          <w:ilvl w:val="0"/>
          <w:numId w:val="39"/>
        </w:numPr>
        <w:rPr>
          <w:rFonts w:ascii="Times New Roman" w:eastAsia="Times New Roman" w:hAnsi="Times New Roman" w:cs="Times New Roman"/>
          <w:b/>
          <w:bCs/>
          <w:sz w:val="22"/>
          <w:szCs w:val="22"/>
        </w:rPr>
      </w:pPr>
      <w:r w:rsidRPr="5A44E2EA">
        <w:rPr>
          <w:rFonts w:ascii="Times New Roman" w:eastAsia="Times New Roman" w:hAnsi="Times New Roman" w:cs="Times New Roman"/>
          <w:b/>
          <w:bCs/>
          <w:sz w:val="22"/>
          <w:szCs w:val="22"/>
        </w:rPr>
        <w:t>Option 2: Multiple PRACH transmission in Multiple RO across RACH-period and/or using new RACH resources.</w:t>
      </w:r>
    </w:p>
    <w:p w14:paraId="21148EB5" w14:textId="5B4E125B" w:rsidR="00342C6A" w:rsidRDefault="00342C6A" w:rsidP="00E25E48">
      <w:pPr>
        <w:rPr>
          <w:b/>
        </w:rPr>
      </w:pPr>
    </w:p>
    <w:p w14:paraId="1513FF42" w14:textId="77777777" w:rsidR="00342C6A" w:rsidRDefault="00342C6A" w:rsidP="00342C6A">
      <w:pPr>
        <w:rPr>
          <w:lang w:eastAsia="zh-CN"/>
        </w:rPr>
      </w:pPr>
      <w:r w:rsidRPr="00342C6A">
        <w:rPr>
          <w:b/>
          <w:bCs/>
          <w:szCs w:val="21"/>
          <w:lang w:eastAsia="zh-CN"/>
        </w:rPr>
        <w:t>Proposal 3: Coverage</w:t>
      </w:r>
      <w:r w:rsidRPr="00787A25">
        <w:rPr>
          <w:b/>
          <w:bCs/>
          <w:szCs w:val="21"/>
          <w:lang w:eastAsia="zh-CN"/>
        </w:rPr>
        <w:t xml:space="preserve"> enhancement applies to the MsgA PUSCH of 2-step RACH</w:t>
      </w:r>
      <w:r>
        <w:rPr>
          <w:szCs w:val="21"/>
          <w:lang w:eastAsia="zh-CN"/>
        </w:rPr>
        <w:t>.</w:t>
      </w:r>
    </w:p>
    <w:p w14:paraId="5D231030" w14:textId="77777777" w:rsidR="00342C6A" w:rsidRDefault="00342C6A" w:rsidP="00E25E48">
      <w:pPr>
        <w:rPr>
          <w:b/>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36D43953" w14:textId="68DDF98E" w:rsidR="000E3469" w:rsidRDefault="000E3469" w:rsidP="003600DE">
      <w:pPr>
        <w:pStyle w:val="ListParagraph"/>
        <w:numPr>
          <w:ilvl w:val="0"/>
          <w:numId w:val="9"/>
        </w:numPr>
        <w:ind w:left="426" w:hanging="426"/>
        <w:jc w:val="left"/>
        <w:rPr>
          <w:rFonts w:ascii="Times New Roman" w:hAnsi="Times New Roman" w:cs="Times New Roman"/>
        </w:rPr>
      </w:pPr>
      <w:bookmarkStart w:id="6" w:name="_Ref40204599"/>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6"/>
      <w:r w:rsidR="00E83756">
        <w:rPr>
          <w:rFonts w:ascii="Times New Roman" w:hAnsi="Times New Roman" w:cs="Times New Roman"/>
        </w:rPr>
        <w:t>”. RAN plenary # 86. Sitges, Spain. December 2019.</w:t>
      </w:r>
    </w:p>
    <w:p w14:paraId="26BBA530" w14:textId="40B36072" w:rsidR="006A43CF" w:rsidRDefault="006A43CF" w:rsidP="003600DE">
      <w:pPr>
        <w:pStyle w:val="ListParagraph"/>
        <w:numPr>
          <w:ilvl w:val="0"/>
          <w:numId w:val="9"/>
        </w:numPr>
        <w:ind w:left="426" w:hanging="426"/>
        <w:jc w:val="left"/>
        <w:rPr>
          <w:rFonts w:ascii="Times New Roman" w:hAnsi="Times New Roman" w:cs="Times New Roman"/>
        </w:rPr>
      </w:pPr>
      <w:bookmarkStart w:id="7" w:name="_Ref53687232"/>
      <w:r>
        <w:rPr>
          <w:rFonts w:ascii="Times New Roman" w:hAnsi="Times New Roman" w:cs="Times New Roman"/>
        </w:rPr>
        <w:t>Chairman’s notes for RAN1#102e.</w:t>
      </w:r>
      <w:bookmarkEnd w:id="7"/>
    </w:p>
    <w:p w14:paraId="6B50954F" w14:textId="480B0CCD" w:rsidR="00B107EA" w:rsidRPr="00B107EA" w:rsidRDefault="008E49E7" w:rsidP="003600DE">
      <w:pPr>
        <w:pStyle w:val="ListParagraph"/>
        <w:numPr>
          <w:ilvl w:val="0"/>
          <w:numId w:val="9"/>
        </w:numPr>
        <w:ind w:left="426" w:hanging="426"/>
        <w:jc w:val="left"/>
        <w:rPr>
          <w:rFonts w:ascii="Times New Roman" w:hAnsi="Times New Roman" w:cs="Times New Roman"/>
        </w:rPr>
      </w:pPr>
      <w:r w:rsidRPr="008E49E7">
        <w:rPr>
          <w:rFonts w:ascii="Times New Roman" w:hAnsi="Times New Roman" w:cs="Times New Roman"/>
        </w:rPr>
        <w:t>R1-</w:t>
      </w:r>
      <w:r w:rsidRPr="008E49E7">
        <w:rPr>
          <w:rFonts w:ascii="Times New Roman" w:hAnsi="Times New Roman" w:cs="Times New Roman" w:hint="eastAsia"/>
        </w:rPr>
        <w:t>20</w:t>
      </w:r>
      <w:r w:rsidRPr="008E49E7">
        <w:rPr>
          <w:rFonts w:ascii="Times New Roman" w:hAnsi="Times New Roman" w:cs="Times New Roman"/>
        </w:rPr>
        <w:t>05586</w:t>
      </w:r>
      <w:r w:rsidR="00513471">
        <w:rPr>
          <w:rFonts w:ascii="Times New Roman" w:hAnsi="Times New Roman" w:cs="Times New Roman"/>
        </w:rPr>
        <w:t xml:space="preserve"> “</w:t>
      </w:r>
      <w:r w:rsidR="00513471" w:rsidRPr="00513471">
        <w:rPr>
          <w:rFonts w:ascii="Times New Roman" w:hAnsi="Times New Roman" w:cs="Times New Roman"/>
        </w:rPr>
        <w:t>Coverage enhancement for channels other than PUSCH and PUCCH</w:t>
      </w:r>
      <w:r w:rsidR="003F6CDA">
        <w:rPr>
          <w:rFonts w:ascii="Times New Roman" w:hAnsi="Times New Roman" w:cs="Times New Roman"/>
        </w:rPr>
        <w:t>”</w:t>
      </w:r>
      <w:r w:rsidR="00382438">
        <w:rPr>
          <w:rFonts w:ascii="Times New Roman" w:hAnsi="Times New Roman" w:cs="Times New Roman"/>
        </w:rPr>
        <w:t xml:space="preserve"> </w:t>
      </w:r>
      <w:r w:rsidR="001B64E2">
        <w:rPr>
          <w:rFonts w:ascii="Times New Roman" w:hAnsi="Times New Roman" w:cs="Times New Roman"/>
        </w:rPr>
        <w:t>RAN1 #102e</w:t>
      </w:r>
      <w:r w:rsidR="00E308A7">
        <w:rPr>
          <w:rFonts w:ascii="Times New Roman" w:hAnsi="Times New Roman" w:cs="Times New Roman"/>
        </w:rPr>
        <w:t>.</w:t>
      </w:r>
    </w:p>
    <w:p w14:paraId="5439B832" w14:textId="21D511C0" w:rsidR="00AB677F" w:rsidRDefault="001E4A7F" w:rsidP="003600DE">
      <w:pPr>
        <w:pStyle w:val="ListParagraph"/>
        <w:numPr>
          <w:ilvl w:val="0"/>
          <w:numId w:val="9"/>
        </w:numPr>
        <w:ind w:left="426" w:hanging="426"/>
        <w:jc w:val="left"/>
        <w:rPr>
          <w:rFonts w:ascii="Times New Roman" w:eastAsia="Times New Roman" w:hAnsi="Times New Roman" w:cs="Times New Roman"/>
        </w:rPr>
      </w:pPr>
      <w:bookmarkStart w:id="8" w:name="_Ref53745917"/>
      <w:r>
        <w:rPr>
          <w:rFonts w:ascii="Times New Roman" w:hAnsi="Times New Roman" w:cs="Times New Roman"/>
        </w:rPr>
        <w:lastRenderedPageBreak/>
        <w:t>R1</w:t>
      </w:r>
      <w:r w:rsidR="00665F3E">
        <w:rPr>
          <w:rFonts w:ascii="Times New Roman" w:hAnsi="Times New Roman" w:cs="Times New Roman"/>
        </w:rPr>
        <w:t>-</w:t>
      </w:r>
      <w:r w:rsidR="00665F3E" w:rsidRPr="1F7072FC">
        <w:rPr>
          <w:rFonts w:ascii="Times New Roman" w:hAnsi="Times New Roman" w:cs="Times New Roman"/>
        </w:rPr>
        <w:t>19</w:t>
      </w:r>
      <w:r w:rsidR="36DD57B2" w:rsidRPr="1F7072FC">
        <w:rPr>
          <w:rFonts w:ascii="Times New Roman" w:hAnsi="Times New Roman" w:cs="Times New Roman"/>
        </w:rPr>
        <w:t>10750</w:t>
      </w:r>
      <w:r w:rsidR="002C13BE">
        <w:rPr>
          <w:rFonts w:ascii="Times New Roman" w:hAnsi="Times New Roman" w:cs="Times New Roman"/>
        </w:rPr>
        <w:t xml:space="preserve"> </w:t>
      </w:r>
      <w:r w:rsidR="00D06A8F">
        <w:rPr>
          <w:rFonts w:ascii="Times New Roman" w:hAnsi="Times New Roman" w:cs="Times New Roman"/>
        </w:rPr>
        <w:t>“</w:t>
      </w:r>
      <w:r w:rsidR="00AB677F" w:rsidRPr="001E4A7F">
        <w:rPr>
          <w:rFonts w:ascii="Times New Roman" w:hAnsi="Times New Roman" w:cs="Times New Roman"/>
        </w:rPr>
        <w:t>Enhancements on multi-beam operation</w:t>
      </w:r>
      <w:r w:rsidRPr="001E4A7F">
        <w:rPr>
          <w:rFonts w:ascii="Times New Roman" w:hAnsi="Times New Roman" w:cs="Times New Roman"/>
        </w:rPr>
        <w:t xml:space="preserve"> RAN WG1#98bis</w:t>
      </w:r>
      <w:r w:rsidR="00D06A8F">
        <w:rPr>
          <w:rFonts w:ascii="Times New Roman" w:hAnsi="Times New Roman" w:cs="Times New Roman"/>
        </w:rPr>
        <w:t>”</w:t>
      </w:r>
      <w:r w:rsidR="00AF5004">
        <w:rPr>
          <w:rFonts w:ascii="Times New Roman" w:hAnsi="Times New Roman" w:cs="Times New Roman"/>
        </w:rPr>
        <w:t>,</w:t>
      </w:r>
      <w:r w:rsidR="00893769" w:rsidRPr="00F619E9">
        <w:rPr>
          <w:rFonts w:ascii="Times New Roman" w:hAnsi="Times New Roman" w:cs="Times New Roman"/>
        </w:rPr>
        <w:t xml:space="preserve"> Chongqing</w:t>
      </w:r>
      <w:r w:rsidR="00893769" w:rsidRPr="00F619E9">
        <w:rPr>
          <w:rFonts w:ascii="Times New Roman" w:hAnsi="Times New Roman" w:cs="Times New Roman" w:hint="eastAsia"/>
        </w:rPr>
        <w:t xml:space="preserve">, </w:t>
      </w:r>
      <w:r w:rsidR="00893769" w:rsidRPr="00F619E9">
        <w:rPr>
          <w:rFonts w:ascii="Times New Roman" w:hAnsi="Times New Roman" w:cs="Times New Roman"/>
        </w:rPr>
        <w:t>China, Oct. 2019</w:t>
      </w:r>
      <w:r w:rsidR="00353E79" w:rsidRPr="00F619E9">
        <w:rPr>
          <w:rFonts w:ascii="Times New Roman" w:hAnsi="Times New Roman" w:cs="Times New Roman"/>
        </w:rPr>
        <w:t>.</w:t>
      </w:r>
      <w:bookmarkEnd w:id="8"/>
    </w:p>
    <w:p w14:paraId="6CEA62D8" w14:textId="7D0020C5" w:rsidR="00365743" w:rsidRDefault="00FA260B" w:rsidP="003600DE">
      <w:pPr>
        <w:pStyle w:val="ListParagraph"/>
        <w:numPr>
          <w:ilvl w:val="0"/>
          <w:numId w:val="9"/>
        </w:numPr>
        <w:ind w:left="426" w:hanging="426"/>
        <w:jc w:val="left"/>
        <w:rPr>
          <w:rFonts w:ascii="Times New Roman" w:hAnsi="Times New Roman" w:cs="Times New Roman"/>
        </w:rPr>
      </w:pPr>
      <w:bookmarkStart w:id="9" w:name="_Ref53747683"/>
      <w:r>
        <w:rPr>
          <w:rFonts w:ascii="Times New Roman" w:hAnsi="Times New Roman" w:cs="Times New Roman"/>
        </w:rPr>
        <w:t>3G</w:t>
      </w:r>
      <w:r w:rsidRPr="00FA260B">
        <w:rPr>
          <w:rFonts w:ascii="Times New Roman" w:hAnsi="Times New Roman" w:cs="Times New Roman"/>
        </w:rPr>
        <w:t>PP TR 38.901 Study on channel model for frequencies from 0.5 to 100</w:t>
      </w:r>
      <w:r>
        <w:rPr>
          <w:rFonts w:ascii="Times New Roman" w:hAnsi="Times New Roman" w:cs="Times New Roman"/>
        </w:rPr>
        <w:t xml:space="preserve"> GHz</w:t>
      </w:r>
      <w:bookmarkEnd w:id="9"/>
    </w:p>
    <w:p w14:paraId="1008EBC0" w14:textId="412292EC" w:rsidR="002F3C3E" w:rsidRDefault="002A32CD" w:rsidP="003600DE">
      <w:pPr>
        <w:pStyle w:val="ListParagraph"/>
        <w:numPr>
          <w:ilvl w:val="0"/>
          <w:numId w:val="9"/>
        </w:numPr>
        <w:ind w:left="426" w:hanging="426"/>
        <w:jc w:val="left"/>
        <w:rPr>
          <w:rFonts w:ascii="Times New Roman" w:hAnsi="Times New Roman" w:cs="Times New Roman"/>
        </w:rPr>
      </w:pPr>
      <w:r>
        <w:rPr>
          <w:rFonts w:ascii="Times New Roman" w:hAnsi="Times New Roman" w:cs="Times New Roman"/>
        </w:rPr>
        <w:t>R1-200739</w:t>
      </w:r>
      <w:r w:rsidR="00B107EA">
        <w:rPr>
          <w:rFonts w:ascii="Times New Roman" w:hAnsi="Times New Roman" w:cs="Times New Roman"/>
        </w:rPr>
        <w:t>2</w:t>
      </w:r>
      <w:r w:rsidR="009E529F">
        <w:rPr>
          <w:rFonts w:ascii="Times New Roman" w:hAnsi="Times New Roman" w:cs="Times New Roman"/>
        </w:rPr>
        <w:t>. “</w:t>
      </w:r>
      <w:r w:rsidR="009E529F" w:rsidRPr="1F7072FC">
        <w:rPr>
          <w:rFonts w:ascii="Times New Roman" w:hAnsi="Times New Roman" w:cs="Times New Roman"/>
        </w:rPr>
        <w:t>Feature lead summary on coverage enhancement for channels other than PUSCH and PUCCH</w:t>
      </w:r>
      <w:r w:rsidR="009E529F">
        <w:rPr>
          <w:rFonts w:ascii="Times New Roman" w:hAnsi="Times New Roman" w:cs="Times New Roman"/>
        </w:rPr>
        <w:t>”</w:t>
      </w:r>
      <w:r w:rsidR="00C15391">
        <w:rPr>
          <w:rFonts w:ascii="Times New Roman" w:hAnsi="Times New Roman" w:cs="Times New Roman"/>
        </w:rPr>
        <w:t>. Moderator (ZTE). RAN1#102e. Aug 2020.</w:t>
      </w:r>
    </w:p>
    <w:p w14:paraId="6693DFA5" w14:textId="09775DFD" w:rsidR="00A95E59" w:rsidRDefault="002D20A4" w:rsidP="003600DE">
      <w:pPr>
        <w:pStyle w:val="ListParagraph"/>
        <w:numPr>
          <w:ilvl w:val="0"/>
          <w:numId w:val="9"/>
        </w:numPr>
        <w:ind w:left="426" w:hanging="426"/>
        <w:jc w:val="left"/>
        <w:rPr>
          <w:rFonts w:ascii="Times New Roman" w:hAnsi="Times New Roman" w:cs="Times New Roman"/>
        </w:rPr>
      </w:pPr>
      <w:bookmarkStart w:id="10" w:name="_Ref53753497"/>
      <w:r>
        <w:rPr>
          <w:rFonts w:ascii="Times New Roman" w:hAnsi="Times New Roman" w:cs="Times New Roman"/>
        </w:rPr>
        <w:t>R1-200</w:t>
      </w:r>
      <w:r w:rsidR="00A95E59">
        <w:rPr>
          <w:rFonts w:ascii="Times New Roman" w:hAnsi="Times New Roman" w:cs="Times New Roman"/>
        </w:rPr>
        <w:t>5429. “</w:t>
      </w:r>
      <w:r w:rsidR="00A95E59" w:rsidRPr="00A95E59">
        <w:rPr>
          <w:rFonts w:ascii="Times New Roman" w:hAnsi="Times New Roman" w:cs="Times New Roman"/>
        </w:rPr>
        <w:t>Discussion on potential techniques for channels other than PUSCH and PUCCH</w:t>
      </w:r>
      <w:r w:rsidR="00A95E59">
        <w:rPr>
          <w:rFonts w:ascii="Times New Roman" w:hAnsi="Times New Roman" w:cs="Times New Roman"/>
        </w:rPr>
        <w:t>”. ZTE. RAN1#102e. Aug 2020.</w:t>
      </w:r>
      <w:bookmarkEnd w:id="10"/>
    </w:p>
    <w:p w14:paraId="6F9867DE" w14:textId="32924F5A" w:rsidR="00A95E59" w:rsidRDefault="00301472" w:rsidP="003600DE">
      <w:pPr>
        <w:pStyle w:val="ListParagraph"/>
        <w:numPr>
          <w:ilvl w:val="0"/>
          <w:numId w:val="9"/>
        </w:numPr>
        <w:ind w:left="426" w:hanging="426"/>
        <w:jc w:val="left"/>
        <w:rPr>
          <w:rFonts w:ascii="Times New Roman" w:hAnsi="Times New Roman" w:cs="Times New Roman"/>
        </w:rPr>
      </w:pPr>
      <w:bookmarkStart w:id="11" w:name="_Ref53753502"/>
      <w:r>
        <w:rPr>
          <w:rFonts w:ascii="Times New Roman" w:hAnsi="Times New Roman" w:cs="Times New Roman"/>
        </w:rPr>
        <w:t>R1-2006531. “</w:t>
      </w:r>
      <w:r w:rsidR="007F3252" w:rsidRPr="007F3252">
        <w:rPr>
          <w:rFonts w:ascii="Times New Roman" w:hAnsi="Times New Roman" w:cs="Times New Roman"/>
        </w:rPr>
        <w:tab/>
        <w:t>On potential techniques for PUSCH coverage enhancement</w:t>
      </w:r>
      <w:r>
        <w:rPr>
          <w:rFonts w:ascii="Times New Roman" w:hAnsi="Times New Roman" w:cs="Times New Roman"/>
        </w:rPr>
        <w:t>”</w:t>
      </w:r>
      <w:r w:rsidR="007F3252">
        <w:rPr>
          <w:rFonts w:ascii="Times New Roman" w:hAnsi="Times New Roman" w:cs="Times New Roman"/>
        </w:rPr>
        <w:t>. Apple. RAN1#102e. Aug 2020.</w:t>
      </w:r>
      <w:bookmarkEnd w:id="11"/>
    </w:p>
    <w:p w14:paraId="332D60B8" w14:textId="77777777" w:rsidR="00EF7E23" w:rsidRDefault="00EF7E23" w:rsidP="003600DE">
      <w:pPr>
        <w:pStyle w:val="ListParagraph"/>
        <w:numPr>
          <w:ilvl w:val="0"/>
          <w:numId w:val="9"/>
        </w:numPr>
        <w:ind w:left="426" w:hanging="426"/>
        <w:jc w:val="left"/>
        <w:rPr>
          <w:rFonts w:ascii="Times New Roman" w:hAnsi="Times New Roman" w:cs="Times New Roman"/>
        </w:rPr>
      </w:pPr>
      <w:bookmarkStart w:id="12" w:name="_Ref53753556"/>
      <w:r>
        <w:rPr>
          <w:rFonts w:ascii="Times New Roman" w:hAnsi="Times New Roman" w:cs="Times New Roman"/>
        </w:rPr>
        <w:t>R1-2005397. “</w:t>
      </w:r>
      <w:r w:rsidRPr="00EF7E23">
        <w:rPr>
          <w:rFonts w:ascii="Times New Roman" w:hAnsi="Times New Roman" w:cs="Times New Roman"/>
        </w:rPr>
        <w:t>Discussion on coverage enhancement for channels other than PUCCH and PUSCH</w:t>
      </w:r>
      <w:r>
        <w:rPr>
          <w:rFonts w:ascii="Times New Roman" w:hAnsi="Times New Roman" w:cs="Times New Roman"/>
        </w:rPr>
        <w:t>”. Vivo. RAN1#102e. Aug 2020.</w:t>
      </w:r>
      <w:bookmarkEnd w:id="12"/>
    </w:p>
    <w:p w14:paraId="768C618E" w14:textId="24BC8039" w:rsidR="00A45157" w:rsidRDefault="00EF7E23" w:rsidP="003600DE">
      <w:pPr>
        <w:pStyle w:val="ListParagraph"/>
        <w:numPr>
          <w:ilvl w:val="0"/>
          <w:numId w:val="9"/>
        </w:numPr>
        <w:ind w:left="426" w:hanging="426"/>
        <w:jc w:val="left"/>
        <w:rPr>
          <w:rFonts w:ascii="Times New Roman" w:hAnsi="Times New Roman" w:cs="Times New Roman"/>
        </w:rPr>
      </w:pPr>
      <w:bookmarkStart w:id="13" w:name="_Ref53753558"/>
      <w:r>
        <w:rPr>
          <w:rFonts w:ascii="Times New Roman" w:hAnsi="Times New Roman" w:cs="Times New Roman"/>
        </w:rPr>
        <w:t>R1-2005724</w:t>
      </w:r>
      <w:r w:rsidR="00A45157">
        <w:rPr>
          <w:rFonts w:ascii="Times New Roman" w:hAnsi="Times New Roman" w:cs="Times New Roman"/>
        </w:rPr>
        <w:t>. “</w:t>
      </w:r>
      <w:r w:rsidR="00A45157" w:rsidRPr="00A45157">
        <w:rPr>
          <w:rFonts w:ascii="Times New Roman" w:hAnsi="Times New Roman" w:cs="Times New Roman"/>
        </w:rPr>
        <w:t>Discussion on potential techniques for PUSCH coverage enhancement</w:t>
      </w:r>
      <w:r w:rsidR="00A45157" w:rsidRPr="00A45157">
        <w:rPr>
          <w:rFonts w:ascii="Times New Roman" w:hAnsi="Times New Roman" w:cs="Times New Roman"/>
        </w:rPr>
        <w:tab/>
      </w:r>
      <w:r w:rsidR="00A45157">
        <w:rPr>
          <w:rFonts w:ascii="Times New Roman" w:hAnsi="Times New Roman" w:cs="Times New Roman"/>
        </w:rPr>
        <w:t>”.</w:t>
      </w:r>
      <w:r w:rsidR="00FB01D8">
        <w:rPr>
          <w:rFonts w:ascii="Times New Roman" w:hAnsi="Times New Roman" w:cs="Times New Roman"/>
        </w:rPr>
        <w:t xml:space="preserve"> </w:t>
      </w:r>
      <w:r w:rsidR="00A45157">
        <w:rPr>
          <w:rFonts w:ascii="Times New Roman" w:hAnsi="Times New Roman" w:cs="Times New Roman"/>
        </w:rPr>
        <w:t>CATT. RAN1#102e. Aug 2020.</w:t>
      </w:r>
      <w:bookmarkEnd w:id="13"/>
    </w:p>
    <w:p w14:paraId="5C29F312" w14:textId="77777777" w:rsidR="00FC5A80" w:rsidRPr="005836DD" w:rsidRDefault="00FC5A80" w:rsidP="005836DD"/>
    <w:sectPr w:rsidR="00FC5A80"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4A06B" w14:textId="77777777" w:rsidR="00E73CE0" w:rsidRDefault="00E73CE0">
      <w:r>
        <w:separator/>
      </w:r>
    </w:p>
  </w:endnote>
  <w:endnote w:type="continuationSeparator" w:id="0">
    <w:p w14:paraId="545727F6" w14:textId="77777777" w:rsidR="00E73CE0" w:rsidRDefault="00E73CE0">
      <w:r>
        <w:continuationSeparator/>
      </w:r>
    </w:p>
  </w:endnote>
  <w:endnote w:type="continuationNotice" w:id="1">
    <w:p w14:paraId="08A064BF" w14:textId="77777777" w:rsidR="00E73CE0" w:rsidRDefault="00E73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F5905" w14:textId="77777777" w:rsidR="00E73CE0" w:rsidRDefault="00E73CE0">
      <w:r>
        <w:separator/>
      </w:r>
    </w:p>
  </w:footnote>
  <w:footnote w:type="continuationSeparator" w:id="0">
    <w:p w14:paraId="7A7DF412" w14:textId="77777777" w:rsidR="00E73CE0" w:rsidRDefault="00E73CE0">
      <w:r>
        <w:continuationSeparator/>
      </w:r>
    </w:p>
  </w:footnote>
  <w:footnote w:type="continuationNotice" w:id="1">
    <w:p w14:paraId="7829A199" w14:textId="77777777" w:rsidR="00E73CE0" w:rsidRDefault="00E73C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9326E"/>
    <w:multiLevelType w:val="hybridMultilevel"/>
    <w:tmpl w:val="FFFFFFFF"/>
    <w:lvl w:ilvl="0" w:tplc="C71AD7BA">
      <w:start w:val="1"/>
      <w:numFmt w:val="decimal"/>
      <w:lvlText w:val="%1."/>
      <w:lvlJc w:val="left"/>
      <w:pPr>
        <w:ind w:left="720" w:hanging="360"/>
      </w:pPr>
    </w:lvl>
    <w:lvl w:ilvl="1" w:tplc="A8D2F30E">
      <w:start w:val="1"/>
      <w:numFmt w:val="lowerLetter"/>
      <w:lvlText w:val="%2."/>
      <w:lvlJc w:val="left"/>
      <w:pPr>
        <w:ind w:left="1440" w:hanging="360"/>
      </w:pPr>
    </w:lvl>
    <w:lvl w:ilvl="2" w:tplc="16088468">
      <w:start w:val="1"/>
      <w:numFmt w:val="lowerRoman"/>
      <w:lvlText w:val="%3."/>
      <w:lvlJc w:val="right"/>
      <w:pPr>
        <w:ind w:left="2160" w:hanging="180"/>
      </w:pPr>
    </w:lvl>
    <w:lvl w:ilvl="3" w:tplc="2A7E96CC">
      <w:start w:val="1"/>
      <w:numFmt w:val="decimal"/>
      <w:lvlText w:val="%4."/>
      <w:lvlJc w:val="left"/>
      <w:pPr>
        <w:ind w:left="2880" w:hanging="360"/>
      </w:pPr>
    </w:lvl>
    <w:lvl w:ilvl="4" w:tplc="B450E998">
      <w:start w:val="1"/>
      <w:numFmt w:val="lowerLetter"/>
      <w:lvlText w:val="%5."/>
      <w:lvlJc w:val="left"/>
      <w:pPr>
        <w:ind w:left="3600" w:hanging="360"/>
      </w:pPr>
    </w:lvl>
    <w:lvl w:ilvl="5" w:tplc="FCF4CD48">
      <w:start w:val="1"/>
      <w:numFmt w:val="lowerRoman"/>
      <w:lvlText w:val="%6."/>
      <w:lvlJc w:val="right"/>
      <w:pPr>
        <w:ind w:left="4320" w:hanging="180"/>
      </w:pPr>
    </w:lvl>
    <w:lvl w:ilvl="6" w:tplc="D616C948">
      <w:start w:val="1"/>
      <w:numFmt w:val="decimal"/>
      <w:lvlText w:val="%7."/>
      <w:lvlJc w:val="left"/>
      <w:pPr>
        <w:ind w:left="5040" w:hanging="360"/>
      </w:pPr>
    </w:lvl>
    <w:lvl w:ilvl="7" w:tplc="652EFA0E">
      <w:start w:val="1"/>
      <w:numFmt w:val="lowerLetter"/>
      <w:lvlText w:val="%8."/>
      <w:lvlJc w:val="left"/>
      <w:pPr>
        <w:ind w:left="5760" w:hanging="360"/>
      </w:pPr>
    </w:lvl>
    <w:lvl w:ilvl="8" w:tplc="85129F42">
      <w:start w:val="1"/>
      <w:numFmt w:val="lowerRoman"/>
      <w:lvlText w:val="%9."/>
      <w:lvlJc w:val="right"/>
      <w:pPr>
        <w:ind w:left="6480" w:hanging="180"/>
      </w:pPr>
    </w:lvl>
  </w:abstractNum>
  <w:abstractNum w:abstractNumId="9"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40A61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7"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3"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5A6C77"/>
    <w:multiLevelType w:val="hybridMultilevel"/>
    <w:tmpl w:val="FFFFFFFF"/>
    <w:lvl w:ilvl="0" w:tplc="C1509CB2">
      <w:start w:val="1"/>
      <w:numFmt w:val="bullet"/>
      <w:lvlText w:val="·"/>
      <w:lvlJc w:val="left"/>
      <w:pPr>
        <w:ind w:left="720" w:hanging="360"/>
      </w:pPr>
      <w:rPr>
        <w:rFonts w:ascii="Symbol" w:hAnsi="Symbol" w:hint="default"/>
      </w:rPr>
    </w:lvl>
    <w:lvl w:ilvl="1" w:tplc="D1A07DC8">
      <w:start w:val="1"/>
      <w:numFmt w:val="bullet"/>
      <w:lvlText w:val="o"/>
      <w:lvlJc w:val="left"/>
      <w:pPr>
        <w:ind w:left="1440" w:hanging="360"/>
      </w:pPr>
      <w:rPr>
        <w:rFonts w:ascii="Courier New" w:hAnsi="Courier New" w:hint="default"/>
      </w:rPr>
    </w:lvl>
    <w:lvl w:ilvl="2" w:tplc="E44E0C1E">
      <w:start w:val="1"/>
      <w:numFmt w:val="bullet"/>
      <w:lvlText w:val=""/>
      <w:lvlJc w:val="left"/>
      <w:pPr>
        <w:ind w:left="2160" w:hanging="360"/>
      </w:pPr>
      <w:rPr>
        <w:rFonts w:ascii="Wingdings" w:hAnsi="Wingdings" w:hint="default"/>
      </w:rPr>
    </w:lvl>
    <w:lvl w:ilvl="3" w:tplc="52141B9C">
      <w:start w:val="1"/>
      <w:numFmt w:val="bullet"/>
      <w:lvlText w:val=""/>
      <w:lvlJc w:val="left"/>
      <w:pPr>
        <w:ind w:left="2880" w:hanging="360"/>
      </w:pPr>
      <w:rPr>
        <w:rFonts w:ascii="Symbol" w:hAnsi="Symbol" w:hint="default"/>
      </w:rPr>
    </w:lvl>
    <w:lvl w:ilvl="4" w:tplc="874272AC">
      <w:start w:val="1"/>
      <w:numFmt w:val="bullet"/>
      <w:lvlText w:val="o"/>
      <w:lvlJc w:val="left"/>
      <w:pPr>
        <w:ind w:left="3600" w:hanging="360"/>
      </w:pPr>
      <w:rPr>
        <w:rFonts w:ascii="Courier New" w:hAnsi="Courier New" w:hint="default"/>
      </w:rPr>
    </w:lvl>
    <w:lvl w:ilvl="5" w:tplc="B366069C">
      <w:start w:val="1"/>
      <w:numFmt w:val="bullet"/>
      <w:lvlText w:val=""/>
      <w:lvlJc w:val="left"/>
      <w:pPr>
        <w:ind w:left="4320" w:hanging="360"/>
      </w:pPr>
      <w:rPr>
        <w:rFonts w:ascii="Wingdings" w:hAnsi="Wingdings" w:hint="default"/>
      </w:rPr>
    </w:lvl>
    <w:lvl w:ilvl="6" w:tplc="D6F8924C">
      <w:start w:val="1"/>
      <w:numFmt w:val="bullet"/>
      <w:lvlText w:val=""/>
      <w:lvlJc w:val="left"/>
      <w:pPr>
        <w:ind w:left="5040" w:hanging="360"/>
      </w:pPr>
      <w:rPr>
        <w:rFonts w:ascii="Symbol" w:hAnsi="Symbol" w:hint="default"/>
      </w:rPr>
    </w:lvl>
    <w:lvl w:ilvl="7" w:tplc="0FBA92C6">
      <w:start w:val="1"/>
      <w:numFmt w:val="bullet"/>
      <w:lvlText w:val="o"/>
      <w:lvlJc w:val="left"/>
      <w:pPr>
        <w:ind w:left="5760" w:hanging="360"/>
      </w:pPr>
      <w:rPr>
        <w:rFonts w:ascii="Courier New" w:hAnsi="Courier New" w:hint="default"/>
      </w:rPr>
    </w:lvl>
    <w:lvl w:ilvl="8" w:tplc="4DCAB3E8">
      <w:start w:val="1"/>
      <w:numFmt w:val="bullet"/>
      <w:lvlText w:val=""/>
      <w:lvlJc w:val="left"/>
      <w:pPr>
        <w:ind w:left="6480" w:hanging="360"/>
      </w:pPr>
      <w:rPr>
        <w:rFonts w:ascii="Wingdings" w:hAnsi="Wingdings" w:hint="default"/>
      </w:rPr>
    </w:lvl>
  </w:abstractNum>
  <w:abstractNum w:abstractNumId="26"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8"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760327"/>
    <w:multiLevelType w:val="multilevel"/>
    <w:tmpl w:val="EAF42DC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8F824DB"/>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7"/>
  </w:num>
  <w:num w:numId="4">
    <w:abstractNumId w:val="20"/>
  </w:num>
  <w:num w:numId="5">
    <w:abstractNumId w:val="29"/>
  </w:num>
  <w:num w:numId="6">
    <w:abstractNumId w:val="5"/>
  </w:num>
  <w:num w:numId="7">
    <w:abstractNumId w:val="27"/>
  </w:num>
  <w:num w:numId="8">
    <w:abstractNumId w:val="14"/>
  </w:num>
  <w:num w:numId="9">
    <w:abstractNumId w:val="2"/>
  </w:num>
  <w:num w:numId="10">
    <w:abstractNumId w:val="19"/>
  </w:num>
  <w:num w:numId="11">
    <w:abstractNumId w:val="1"/>
  </w:num>
  <w:num w:numId="12">
    <w:abstractNumId w:val="6"/>
  </w:num>
  <w:num w:numId="13">
    <w:abstractNumId w:val="30"/>
  </w:num>
  <w:num w:numId="14">
    <w:abstractNumId w:val="28"/>
  </w:num>
  <w:num w:numId="15">
    <w:abstractNumId w:val="15"/>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1"/>
  </w:num>
  <w:num w:numId="22">
    <w:abstractNumId w:val="26"/>
  </w:num>
  <w:num w:numId="23">
    <w:abstractNumId w:val="33"/>
  </w:num>
  <w:num w:numId="24">
    <w:abstractNumId w:val="0"/>
  </w:num>
  <w:num w:numId="25">
    <w:abstractNumId w:val="0"/>
  </w:num>
  <w:num w:numId="26">
    <w:abstractNumId w:val="23"/>
  </w:num>
  <w:num w:numId="27">
    <w:abstractNumId w:val="24"/>
  </w:num>
  <w:num w:numId="28">
    <w:abstractNumId w:val="32"/>
  </w:num>
  <w:num w:numId="29">
    <w:abstractNumId w:val="34"/>
  </w:num>
  <w:num w:numId="30">
    <w:abstractNumId w:val="22"/>
  </w:num>
  <w:num w:numId="31">
    <w:abstractNumId w:val="7"/>
  </w:num>
  <w:num w:numId="32">
    <w:abstractNumId w:val="3"/>
  </w:num>
  <w:num w:numId="33">
    <w:abstractNumId w:val="39"/>
  </w:num>
  <w:num w:numId="34">
    <w:abstractNumId w:val="18"/>
  </w:num>
  <w:num w:numId="35">
    <w:abstractNumId w:val="31"/>
  </w:num>
  <w:num w:numId="36">
    <w:abstractNumId w:val="36"/>
  </w:num>
  <w:num w:numId="37">
    <w:abstractNumId w:val="11"/>
  </w:num>
  <w:num w:numId="38">
    <w:abstractNumId w:val="4"/>
  </w:num>
  <w:num w:numId="39">
    <w:abstractNumId w:val="25"/>
  </w:num>
  <w:num w:numId="40">
    <w:abstractNumId w:val="8"/>
  </w:num>
  <w:num w:numId="41">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5E"/>
    <w:rsid w:val="000158ED"/>
    <w:rsid w:val="00015EFB"/>
    <w:rsid w:val="000165E2"/>
    <w:rsid w:val="00017020"/>
    <w:rsid w:val="000172BE"/>
    <w:rsid w:val="00017CDF"/>
    <w:rsid w:val="00017D8A"/>
    <w:rsid w:val="0002004E"/>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C5F"/>
    <w:rsid w:val="00041D94"/>
    <w:rsid w:val="0004202B"/>
    <w:rsid w:val="0004243B"/>
    <w:rsid w:val="00042720"/>
    <w:rsid w:val="0004290B"/>
    <w:rsid w:val="000434B7"/>
    <w:rsid w:val="000435C9"/>
    <w:rsid w:val="000435E4"/>
    <w:rsid w:val="00044077"/>
    <w:rsid w:val="0004483A"/>
    <w:rsid w:val="00044E41"/>
    <w:rsid w:val="000454D8"/>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7B1"/>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5FF2"/>
    <w:rsid w:val="00086019"/>
    <w:rsid w:val="0008661A"/>
    <w:rsid w:val="00086800"/>
    <w:rsid w:val="0008740C"/>
    <w:rsid w:val="00087913"/>
    <w:rsid w:val="00087C4F"/>
    <w:rsid w:val="000900D7"/>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1B0"/>
    <w:rsid w:val="000C252B"/>
    <w:rsid w:val="000C2F06"/>
    <w:rsid w:val="000C2F81"/>
    <w:rsid w:val="000C2FBD"/>
    <w:rsid w:val="000C3B0C"/>
    <w:rsid w:val="000C3D3B"/>
    <w:rsid w:val="000C422D"/>
    <w:rsid w:val="000C5974"/>
    <w:rsid w:val="000C5F91"/>
    <w:rsid w:val="000C6025"/>
    <w:rsid w:val="000C62CF"/>
    <w:rsid w:val="000C659D"/>
    <w:rsid w:val="000C7871"/>
    <w:rsid w:val="000D0565"/>
    <w:rsid w:val="000D0A03"/>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3A64"/>
    <w:rsid w:val="000F4015"/>
    <w:rsid w:val="000F4C20"/>
    <w:rsid w:val="000F4E03"/>
    <w:rsid w:val="000F4E6E"/>
    <w:rsid w:val="000F5046"/>
    <w:rsid w:val="000F5E83"/>
    <w:rsid w:val="000F6726"/>
    <w:rsid w:val="000F6EAD"/>
    <w:rsid w:val="000F7F58"/>
    <w:rsid w:val="00100128"/>
    <w:rsid w:val="00100186"/>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3C9"/>
    <w:rsid w:val="00151619"/>
    <w:rsid w:val="001521DF"/>
    <w:rsid w:val="00152835"/>
    <w:rsid w:val="001554E7"/>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4CE9"/>
    <w:rsid w:val="00175C30"/>
    <w:rsid w:val="00175DA1"/>
    <w:rsid w:val="00175DCB"/>
    <w:rsid w:val="00176337"/>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280"/>
    <w:rsid w:val="0018588A"/>
    <w:rsid w:val="00185A59"/>
    <w:rsid w:val="00185FA5"/>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C69"/>
    <w:rsid w:val="001A5E6D"/>
    <w:rsid w:val="001A6552"/>
    <w:rsid w:val="001A673E"/>
    <w:rsid w:val="001A67B2"/>
    <w:rsid w:val="001A6D82"/>
    <w:rsid w:val="001A7724"/>
    <w:rsid w:val="001A7763"/>
    <w:rsid w:val="001A7D26"/>
    <w:rsid w:val="001B0F40"/>
    <w:rsid w:val="001B1405"/>
    <w:rsid w:val="001B1537"/>
    <w:rsid w:val="001B2964"/>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116"/>
    <w:rsid w:val="001B7596"/>
    <w:rsid w:val="001B7BF7"/>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C5"/>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A7F"/>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20A"/>
    <w:rsid w:val="00210647"/>
    <w:rsid w:val="00210860"/>
    <w:rsid w:val="00210B6A"/>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0A3F"/>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56A"/>
    <w:rsid w:val="00257BF4"/>
    <w:rsid w:val="00260003"/>
    <w:rsid w:val="00260044"/>
    <w:rsid w:val="0026035D"/>
    <w:rsid w:val="002606D6"/>
    <w:rsid w:val="00261B34"/>
    <w:rsid w:val="00261C98"/>
    <w:rsid w:val="00261D01"/>
    <w:rsid w:val="0026248E"/>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BEB"/>
    <w:rsid w:val="002A0EC3"/>
    <w:rsid w:val="002A0EE0"/>
    <w:rsid w:val="002A1BE0"/>
    <w:rsid w:val="002A1E92"/>
    <w:rsid w:val="002A204D"/>
    <w:rsid w:val="002A2387"/>
    <w:rsid w:val="002A2556"/>
    <w:rsid w:val="002A2616"/>
    <w:rsid w:val="002A26E1"/>
    <w:rsid w:val="002A2AC2"/>
    <w:rsid w:val="002A324B"/>
    <w:rsid w:val="002A32CD"/>
    <w:rsid w:val="002A33BD"/>
    <w:rsid w:val="002A368A"/>
    <w:rsid w:val="002A4065"/>
    <w:rsid w:val="002A4095"/>
    <w:rsid w:val="002A4982"/>
    <w:rsid w:val="002A49EF"/>
    <w:rsid w:val="002A4E10"/>
    <w:rsid w:val="002A5003"/>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874"/>
    <w:rsid w:val="002B6BDC"/>
    <w:rsid w:val="002B7342"/>
    <w:rsid w:val="002B75B0"/>
    <w:rsid w:val="002B7705"/>
    <w:rsid w:val="002B7EAF"/>
    <w:rsid w:val="002C0618"/>
    <w:rsid w:val="002C099C"/>
    <w:rsid w:val="002C0B74"/>
    <w:rsid w:val="002C0C8B"/>
    <w:rsid w:val="002C0CBB"/>
    <w:rsid w:val="002C107C"/>
    <w:rsid w:val="002C1201"/>
    <w:rsid w:val="002C13BE"/>
    <w:rsid w:val="002C1460"/>
    <w:rsid w:val="002C1594"/>
    <w:rsid w:val="002C1DF7"/>
    <w:rsid w:val="002C20F2"/>
    <w:rsid w:val="002C232C"/>
    <w:rsid w:val="002C2715"/>
    <w:rsid w:val="002C2A32"/>
    <w:rsid w:val="002C2E80"/>
    <w:rsid w:val="002C2F6B"/>
    <w:rsid w:val="002C384C"/>
    <w:rsid w:val="002C38B2"/>
    <w:rsid w:val="002C39D0"/>
    <w:rsid w:val="002C3F9C"/>
    <w:rsid w:val="002C4060"/>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0A4"/>
    <w:rsid w:val="002D25A8"/>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3E"/>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472"/>
    <w:rsid w:val="00301DC9"/>
    <w:rsid w:val="00301DD9"/>
    <w:rsid w:val="00301DFB"/>
    <w:rsid w:val="003028D6"/>
    <w:rsid w:val="00303251"/>
    <w:rsid w:val="003032F7"/>
    <w:rsid w:val="00303440"/>
    <w:rsid w:val="003044AD"/>
    <w:rsid w:val="00304B71"/>
    <w:rsid w:val="00304D9B"/>
    <w:rsid w:val="0030536E"/>
    <w:rsid w:val="00305FF9"/>
    <w:rsid w:val="00306289"/>
    <w:rsid w:val="003066BA"/>
    <w:rsid w:val="00306E6B"/>
    <w:rsid w:val="00307607"/>
    <w:rsid w:val="0030780A"/>
    <w:rsid w:val="00307826"/>
    <w:rsid w:val="00307B22"/>
    <w:rsid w:val="00307D3D"/>
    <w:rsid w:val="003100C8"/>
    <w:rsid w:val="00310212"/>
    <w:rsid w:val="00311161"/>
    <w:rsid w:val="00312400"/>
    <w:rsid w:val="0031257B"/>
    <w:rsid w:val="00312739"/>
    <w:rsid w:val="00312AAB"/>
    <w:rsid w:val="00312D10"/>
    <w:rsid w:val="003139C1"/>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C6A"/>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B1D"/>
    <w:rsid w:val="0037094E"/>
    <w:rsid w:val="00370BE7"/>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084"/>
    <w:rsid w:val="003E0488"/>
    <w:rsid w:val="003E0768"/>
    <w:rsid w:val="003E07AE"/>
    <w:rsid w:val="003E14FC"/>
    <w:rsid w:val="003E166E"/>
    <w:rsid w:val="003E1683"/>
    <w:rsid w:val="003E1D3D"/>
    <w:rsid w:val="003E27C8"/>
    <w:rsid w:val="003E2976"/>
    <w:rsid w:val="003E2F0B"/>
    <w:rsid w:val="003E3F0C"/>
    <w:rsid w:val="003E4508"/>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7F"/>
    <w:rsid w:val="0041739E"/>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42"/>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1FFE"/>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5EC0"/>
    <w:rsid w:val="004663F5"/>
    <w:rsid w:val="00466532"/>
    <w:rsid w:val="00466BFE"/>
    <w:rsid w:val="00467116"/>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435"/>
    <w:rsid w:val="00492613"/>
    <w:rsid w:val="00492D70"/>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5AE"/>
    <w:rsid w:val="004A4715"/>
    <w:rsid w:val="004A4C11"/>
    <w:rsid w:val="004A4D6F"/>
    <w:rsid w:val="004A5046"/>
    <w:rsid w:val="004A559E"/>
    <w:rsid w:val="004A5651"/>
    <w:rsid w:val="004A565E"/>
    <w:rsid w:val="004A5DF3"/>
    <w:rsid w:val="004A5F48"/>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087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98A"/>
    <w:rsid w:val="00504BC1"/>
    <w:rsid w:val="00505134"/>
    <w:rsid w:val="00505971"/>
    <w:rsid w:val="00505C04"/>
    <w:rsid w:val="00505E47"/>
    <w:rsid w:val="00506117"/>
    <w:rsid w:val="00507543"/>
    <w:rsid w:val="005077A7"/>
    <w:rsid w:val="00507E8B"/>
    <w:rsid w:val="005106AF"/>
    <w:rsid w:val="005110B1"/>
    <w:rsid w:val="00511C6E"/>
    <w:rsid w:val="00511F15"/>
    <w:rsid w:val="005126EE"/>
    <w:rsid w:val="0051318C"/>
    <w:rsid w:val="00513471"/>
    <w:rsid w:val="005137CF"/>
    <w:rsid w:val="00513D7F"/>
    <w:rsid w:val="005142CD"/>
    <w:rsid w:val="005143C9"/>
    <w:rsid w:val="00514969"/>
    <w:rsid w:val="00514B2D"/>
    <w:rsid w:val="005157A9"/>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A3E"/>
    <w:rsid w:val="00533B31"/>
    <w:rsid w:val="00533D4D"/>
    <w:rsid w:val="0053408C"/>
    <w:rsid w:val="0053433E"/>
    <w:rsid w:val="00534A5A"/>
    <w:rsid w:val="00534E50"/>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3CB7"/>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6DD"/>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852"/>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1E30"/>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108F"/>
    <w:rsid w:val="005E1997"/>
    <w:rsid w:val="005E1BBF"/>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F4"/>
    <w:rsid w:val="006638AD"/>
    <w:rsid w:val="00663BC1"/>
    <w:rsid w:val="00663DE4"/>
    <w:rsid w:val="00663ECA"/>
    <w:rsid w:val="00665A04"/>
    <w:rsid w:val="00665F3E"/>
    <w:rsid w:val="0066609E"/>
    <w:rsid w:val="00666388"/>
    <w:rsid w:val="006665B4"/>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3E47"/>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0A32"/>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24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2C"/>
    <w:rsid w:val="007634E3"/>
    <w:rsid w:val="0076357A"/>
    <w:rsid w:val="007639D2"/>
    <w:rsid w:val="00764194"/>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A9C"/>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87A25"/>
    <w:rsid w:val="00790026"/>
    <w:rsid w:val="00790726"/>
    <w:rsid w:val="00790867"/>
    <w:rsid w:val="007909F4"/>
    <w:rsid w:val="00790DDA"/>
    <w:rsid w:val="0079125D"/>
    <w:rsid w:val="0079162F"/>
    <w:rsid w:val="007916DE"/>
    <w:rsid w:val="00791C4C"/>
    <w:rsid w:val="00791F39"/>
    <w:rsid w:val="0079262F"/>
    <w:rsid w:val="00792B21"/>
    <w:rsid w:val="00793091"/>
    <w:rsid w:val="00793539"/>
    <w:rsid w:val="00793985"/>
    <w:rsid w:val="00793AC7"/>
    <w:rsid w:val="007943DA"/>
    <w:rsid w:val="0079468D"/>
    <w:rsid w:val="00794924"/>
    <w:rsid w:val="00794B41"/>
    <w:rsid w:val="00794C8A"/>
    <w:rsid w:val="0079532D"/>
    <w:rsid w:val="007954F5"/>
    <w:rsid w:val="0079620B"/>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93C"/>
    <w:rsid w:val="007A3BF1"/>
    <w:rsid w:val="007A41EE"/>
    <w:rsid w:val="007A4269"/>
    <w:rsid w:val="007A43A2"/>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019"/>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497"/>
    <w:rsid w:val="007C34CF"/>
    <w:rsid w:val="007C3598"/>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74"/>
    <w:rsid w:val="007F2CFA"/>
    <w:rsid w:val="007F2D86"/>
    <w:rsid w:val="007F3252"/>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2FC"/>
    <w:rsid w:val="0081177C"/>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5EC6"/>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C55"/>
    <w:rsid w:val="00864440"/>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A7798"/>
    <w:rsid w:val="008B036B"/>
    <w:rsid w:val="008B043F"/>
    <w:rsid w:val="008B07AA"/>
    <w:rsid w:val="008B0808"/>
    <w:rsid w:val="008B0AEC"/>
    <w:rsid w:val="008B1E53"/>
    <w:rsid w:val="008B1E5B"/>
    <w:rsid w:val="008B32A0"/>
    <w:rsid w:val="008B389D"/>
    <w:rsid w:val="008B3C5C"/>
    <w:rsid w:val="008B4CA1"/>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70BE"/>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030"/>
    <w:rsid w:val="0091306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BF4"/>
    <w:rsid w:val="00936D98"/>
    <w:rsid w:val="00937556"/>
    <w:rsid w:val="00937763"/>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824"/>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74B6"/>
    <w:rsid w:val="0096046E"/>
    <w:rsid w:val="00960AE8"/>
    <w:rsid w:val="00960DAE"/>
    <w:rsid w:val="00961160"/>
    <w:rsid w:val="009611D2"/>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1BD"/>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96F"/>
    <w:rsid w:val="00991F2C"/>
    <w:rsid w:val="00991FF6"/>
    <w:rsid w:val="00992B98"/>
    <w:rsid w:val="0099307F"/>
    <w:rsid w:val="0099353A"/>
    <w:rsid w:val="0099359F"/>
    <w:rsid w:val="00993ED5"/>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7E8"/>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23E"/>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29F"/>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4BE"/>
    <w:rsid w:val="009F54F8"/>
    <w:rsid w:val="009F553C"/>
    <w:rsid w:val="009F59F8"/>
    <w:rsid w:val="009F64CB"/>
    <w:rsid w:val="009F6878"/>
    <w:rsid w:val="009F6A6A"/>
    <w:rsid w:val="009F6B33"/>
    <w:rsid w:val="009F74D0"/>
    <w:rsid w:val="009F7A21"/>
    <w:rsid w:val="009F7AE6"/>
    <w:rsid w:val="009F7E10"/>
    <w:rsid w:val="00A005B0"/>
    <w:rsid w:val="00A00851"/>
    <w:rsid w:val="00A00B9B"/>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7C5"/>
    <w:rsid w:val="00A501C9"/>
    <w:rsid w:val="00A50506"/>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E59"/>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77F"/>
    <w:rsid w:val="00AB6AA5"/>
    <w:rsid w:val="00AB725F"/>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004"/>
    <w:rsid w:val="00AF5194"/>
    <w:rsid w:val="00AF53EF"/>
    <w:rsid w:val="00AF58E4"/>
    <w:rsid w:val="00AF5EFD"/>
    <w:rsid w:val="00AF6195"/>
    <w:rsid w:val="00AF65AE"/>
    <w:rsid w:val="00AF6BA2"/>
    <w:rsid w:val="00AF6FDB"/>
    <w:rsid w:val="00AF73C3"/>
    <w:rsid w:val="00AF77F6"/>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4112"/>
    <w:rsid w:val="00B143F7"/>
    <w:rsid w:val="00B14C3D"/>
    <w:rsid w:val="00B14C44"/>
    <w:rsid w:val="00B14D3B"/>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686"/>
    <w:rsid w:val="00B25762"/>
    <w:rsid w:val="00B25A92"/>
    <w:rsid w:val="00B25B40"/>
    <w:rsid w:val="00B25D76"/>
    <w:rsid w:val="00B25FDE"/>
    <w:rsid w:val="00B266D2"/>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0BA"/>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001"/>
    <w:rsid w:val="00B67955"/>
    <w:rsid w:val="00B7037E"/>
    <w:rsid w:val="00B703FC"/>
    <w:rsid w:val="00B70F27"/>
    <w:rsid w:val="00B711CE"/>
    <w:rsid w:val="00B7157B"/>
    <w:rsid w:val="00B71822"/>
    <w:rsid w:val="00B71DC8"/>
    <w:rsid w:val="00B72007"/>
    <w:rsid w:val="00B721E5"/>
    <w:rsid w:val="00B722BE"/>
    <w:rsid w:val="00B7307D"/>
    <w:rsid w:val="00B73876"/>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6A4A"/>
    <w:rsid w:val="00BA76DE"/>
    <w:rsid w:val="00BA78F0"/>
    <w:rsid w:val="00BA7ACD"/>
    <w:rsid w:val="00BA7D08"/>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2D6"/>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391"/>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34A"/>
    <w:rsid w:val="00C9182D"/>
    <w:rsid w:val="00C91DE3"/>
    <w:rsid w:val="00C91E52"/>
    <w:rsid w:val="00C91FA0"/>
    <w:rsid w:val="00C9205B"/>
    <w:rsid w:val="00C92C7F"/>
    <w:rsid w:val="00C92FA3"/>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94F"/>
    <w:rsid w:val="00CA396C"/>
    <w:rsid w:val="00CA3A72"/>
    <w:rsid w:val="00CA3CDD"/>
    <w:rsid w:val="00CA403B"/>
    <w:rsid w:val="00CA4064"/>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C039D"/>
    <w:rsid w:val="00CC0957"/>
    <w:rsid w:val="00CC0B58"/>
    <w:rsid w:val="00CC0C4A"/>
    <w:rsid w:val="00CC0E27"/>
    <w:rsid w:val="00CC0F88"/>
    <w:rsid w:val="00CC17F0"/>
    <w:rsid w:val="00CC1853"/>
    <w:rsid w:val="00CC1A0A"/>
    <w:rsid w:val="00CC1A0C"/>
    <w:rsid w:val="00CC1DC8"/>
    <w:rsid w:val="00CC1FAE"/>
    <w:rsid w:val="00CC249B"/>
    <w:rsid w:val="00CC2CDF"/>
    <w:rsid w:val="00CC31B5"/>
    <w:rsid w:val="00CC3A23"/>
    <w:rsid w:val="00CC3D07"/>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E43"/>
    <w:rsid w:val="00CE3F86"/>
    <w:rsid w:val="00CE40F5"/>
    <w:rsid w:val="00CE43C8"/>
    <w:rsid w:val="00CE446F"/>
    <w:rsid w:val="00CE46E5"/>
    <w:rsid w:val="00CE485A"/>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6BA"/>
    <w:rsid w:val="00D56DB2"/>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4156"/>
    <w:rsid w:val="00D84BA8"/>
    <w:rsid w:val="00D84ECC"/>
    <w:rsid w:val="00D854EC"/>
    <w:rsid w:val="00D857B8"/>
    <w:rsid w:val="00D86152"/>
    <w:rsid w:val="00D8648B"/>
    <w:rsid w:val="00D87175"/>
    <w:rsid w:val="00D87321"/>
    <w:rsid w:val="00D87ABF"/>
    <w:rsid w:val="00D87AE2"/>
    <w:rsid w:val="00D90A5B"/>
    <w:rsid w:val="00D90C0E"/>
    <w:rsid w:val="00D90CD3"/>
    <w:rsid w:val="00D91374"/>
    <w:rsid w:val="00D91482"/>
    <w:rsid w:val="00D919E6"/>
    <w:rsid w:val="00D91BE1"/>
    <w:rsid w:val="00D91E07"/>
    <w:rsid w:val="00D921D0"/>
    <w:rsid w:val="00D92222"/>
    <w:rsid w:val="00D92C29"/>
    <w:rsid w:val="00D936E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803"/>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0BE"/>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5F1B"/>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49"/>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308A7"/>
    <w:rsid w:val="00E3163B"/>
    <w:rsid w:val="00E3165B"/>
    <w:rsid w:val="00E32D62"/>
    <w:rsid w:val="00E33369"/>
    <w:rsid w:val="00E339C0"/>
    <w:rsid w:val="00E339DC"/>
    <w:rsid w:val="00E33A63"/>
    <w:rsid w:val="00E33E15"/>
    <w:rsid w:val="00E33EAD"/>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342"/>
    <w:rsid w:val="00E7394C"/>
    <w:rsid w:val="00E73A71"/>
    <w:rsid w:val="00E73CE0"/>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A88"/>
    <w:rsid w:val="00E94B38"/>
    <w:rsid w:val="00E94C5B"/>
    <w:rsid w:val="00E94CF1"/>
    <w:rsid w:val="00E94F0D"/>
    <w:rsid w:val="00E957AB"/>
    <w:rsid w:val="00E95BA6"/>
    <w:rsid w:val="00E9635D"/>
    <w:rsid w:val="00E968F4"/>
    <w:rsid w:val="00E9697F"/>
    <w:rsid w:val="00E96DBE"/>
    <w:rsid w:val="00E97648"/>
    <w:rsid w:val="00E976AD"/>
    <w:rsid w:val="00E97CC8"/>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529"/>
    <w:rsid w:val="00EA494A"/>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62B"/>
    <w:rsid w:val="00EC4723"/>
    <w:rsid w:val="00EC4AC9"/>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344"/>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99F"/>
    <w:rsid w:val="00F01A6A"/>
    <w:rsid w:val="00F02043"/>
    <w:rsid w:val="00F0206A"/>
    <w:rsid w:val="00F0247E"/>
    <w:rsid w:val="00F027BA"/>
    <w:rsid w:val="00F03A3A"/>
    <w:rsid w:val="00F03E79"/>
    <w:rsid w:val="00F045E8"/>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2E5"/>
    <w:rsid w:val="00F155CE"/>
    <w:rsid w:val="00F156C0"/>
    <w:rsid w:val="00F166B7"/>
    <w:rsid w:val="00F16C14"/>
    <w:rsid w:val="00F17166"/>
    <w:rsid w:val="00F174FA"/>
    <w:rsid w:val="00F17E35"/>
    <w:rsid w:val="00F17EAE"/>
    <w:rsid w:val="00F17F4D"/>
    <w:rsid w:val="00F2006A"/>
    <w:rsid w:val="00F2045D"/>
    <w:rsid w:val="00F20EB9"/>
    <w:rsid w:val="00F216BF"/>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3C5"/>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C2D"/>
    <w:rsid w:val="00F60EB2"/>
    <w:rsid w:val="00F616DF"/>
    <w:rsid w:val="00F619E9"/>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09F"/>
    <w:rsid w:val="00F663A0"/>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EB1"/>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B76"/>
    <w:rsid w:val="00FA3F05"/>
    <w:rsid w:val="00FA4168"/>
    <w:rsid w:val="00FA4622"/>
    <w:rsid w:val="00FA4D66"/>
    <w:rsid w:val="00FA54DE"/>
    <w:rsid w:val="00FA5A4E"/>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34F0"/>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4661A64-F063-463C-9986-83482ECB160D}">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824AA977-A246-4FCD-8B2C-B6002DA46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E96C58-EAD7-45BA-A63B-99293AE87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2039</Words>
  <Characters>11624</Characters>
  <Application>Microsoft Office Word</Application>
  <DocSecurity>0</DocSecurity>
  <Lines>96</Lines>
  <Paragraphs>27</Paragraphs>
  <ScaleCrop>false</ScaleCrop>
  <Company>Sony</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196</cp:revision>
  <cp:lastPrinted>2016-05-14T05:14:00Z</cp:lastPrinted>
  <dcterms:created xsi:type="dcterms:W3CDTF">2020-05-16T07:41:00Z</dcterms:created>
  <dcterms:modified xsi:type="dcterms:W3CDTF">2020-10-17T00:47:00Z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